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EAC35" w14:textId="59A5B5E8" w:rsidR="00A94AA4" w:rsidRPr="00A94AA4" w:rsidRDefault="00A94AA4" w:rsidP="00A94AA4">
      <w:pPr>
        <w:pStyle w:val="a7"/>
        <w:spacing w:after="180"/>
        <w:rPr>
          <w:rFonts w:ascii="Arial" w:hAnsi="Arial" w:cs="Arial"/>
          <w:sz w:val="28"/>
        </w:rPr>
      </w:pPr>
      <w:r w:rsidRPr="00A94AA4">
        <w:rPr>
          <w:rFonts w:ascii="Arial" w:hAnsi="Arial" w:cs="Arial" w:hint="eastAsia"/>
          <w:sz w:val="28"/>
        </w:rPr>
        <w:t>A Study on the Anti-Electrostatic Field Performance of AMOLED Modules</w:t>
      </w:r>
    </w:p>
    <w:p w14:paraId="5DB9BFE0" w14:textId="6E376CA5" w:rsidR="001E20E7" w:rsidRPr="0038749B" w:rsidRDefault="001E20E7" w:rsidP="001E20E7">
      <w:pPr>
        <w:pStyle w:val="Author"/>
        <w:spacing w:after="40"/>
        <w:rPr>
          <w:rFonts w:ascii="Arial" w:hAnsi="Arial" w:cs="Arial"/>
        </w:rPr>
      </w:pPr>
      <w:r>
        <w:rPr>
          <w:rFonts w:ascii="Arial" w:hAnsi="Arial" w:cs="Arial"/>
        </w:rPr>
        <w:t>Ru</w:t>
      </w:r>
      <w:r>
        <w:rPr>
          <w:rFonts w:ascii="Arial" w:hAnsi="Arial" w:cs="Arial" w:hint="eastAsia"/>
          <w:lang w:eastAsia="zh-CN"/>
        </w:rPr>
        <w:t>k</w:t>
      </w:r>
      <w:r>
        <w:rPr>
          <w:rFonts w:ascii="Arial" w:hAnsi="Arial" w:cs="Arial"/>
          <w:lang w:eastAsia="zh-CN"/>
        </w:rPr>
        <w:t>ang</w:t>
      </w:r>
      <w:r>
        <w:rPr>
          <w:rFonts w:ascii="Arial" w:hAnsi="Arial" w:cs="Arial"/>
        </w:rPr>
        <w:t xml:space="preserve"> Zhang*, Lu</w:t>
      </w:r>
      <w:r>
        <w:rPr>
          <w:rFonts w:ascii="Arial" w:hAnsi="Arial" w:cs="Arial" w:hint="eastAsia"/>
          <w:lang w:eastAsia="zh-CN"/>
        </w:rPr>
        <w:t>na</w:t>
      </w:r>
      <w:r>
        <w:rPr>
          <w:rFonts w:ascii="Arial" w:hAnsi="Arial" w:cs="Arial"/>
          <w:lang w:eastAsia="zh-CN"/>
        </w:rPr>
        <w:t xml:space="preserve"> W</w:t>
      </w:r>
      <w:r>
        <w:rPr>
          <w:rFonts w:ascii="Arial" w:hAnsi="Arial" w:cs="Arial" w:hint="eastAsia"/>
          <w:lang w:eastAsia="zh-CN"/>
        </w:rPr>
        <w:t>an</w:t>
      </w:r>
      <w:r w:rsidR="00CC36E8">
        <w:rPr>
          <w:rFonts w:ascii="Arial" w:hAnsi="Arial" w:cs="Arial"/>
          <w:lang w:eastAsia="zh-CN"/>
        </w:rPr>
        <w:t>g</w:t>
      </w:r>
      <w:r w:rsidRPr="0038749B">
        <w:rPr>
          <w:rFonts w:ascii="Arial" w:hAnsi="Arial" w:cs="Arial"/>
        </w:rPr>
        <w:t>**</w:t>
      </w:r>
      <w:r>
        <w:rPr>
          <w:rFonts w:ascii="Arial" w:hAnsi="Arial" w:cs="Arial"/>
          <w:lang w:eastAsia="zh-CN"/>
        </w:rPr>
        <w:t>,</w:t>
      </w:r>
      <w:r w:rsidR="00D5304A">
        <w:rPr>
          <w:rFonts w:ascii="Arial" w:hAnsi="Arial" w:cs="Arial"/>
          <w:lang w:eastAsia="zh-CN"/>
        </w:rPr>
        <w:t xml:space="preserve"> </w:t>
      </w:r>
      <w:r w:rsidR="00124739">
        <w:rPr>
          <w:rFonts w:ascii="Arial" w:hAnsi="Arial" w:cs="Arial"/>
        </w:rPr>
        <w:t>Y</w:t>
      </w:r>
      <w:r>
        <w:rPr>
          <w:rFonts w:ascii="Arial" w:hAnsi="Arial" w:cs="Arial"/>
        </w:rPr>
        <w:t>ing Cao</w:t>
      </w:r>
      <w:r w:rsidRPr="0038749B">
        <w:rPr>
          <w:rFonts w:ascii="Arial" w:hAnsi="Arial" w:cs="Arial"/>
        </w:rPr>
        <w:t>**</w:t>
      </w:r>
      <w:r>
        <w:rPr>
          <w:rFonts w:ascii="Arial" w:hAnsi="Arial" w:cs="Arial"/>
        </w:rPr>
        <w:t>,</w:t>
      </w:r>
      <w:r w:rsidR="00D5304A">
        <w:rPr>
          <w:rFonts w:ascii="Arial" w:hAnsi="Arial" w:cs="Arial"/>
        </w:rPr>
        <w:t xml:space="preserve"> </w:t>
      </w:r>
      <w:r>
        <w:rPr>
          <w:rFonts w:ascii="Arial" w:hAnsi="Arial" w:cs="Arial"/>
        </w:rPr>
        <w:t>Gaohui Xie</w:t>
      </w:r>
      <w:r w:rsidRPr="0038749B">
        <w:rPr>
          <w:rFonts w:ascii="Arial" w:hAnsi="Arial" w:cs="Arial"/>
        </w:rPr>
        <w:t>**</w:t>
      </w:r>
      <w:r>
        <w:rPr>
          <w:rFonts w:ascii="Arial" w:hAnsi="Arial" w:cs="Arial"/>
        </w:rPr>
        <w:t>,</w:t>
      </w:r>
      <w:r w:rsidRPr="00D26C0E">
        <w:rPr>
          <w:rFonts w:ascii="Arial" w:hAnsi="Arial" w:cs="Arial" w:hint="eastAsia"/>
          <w:lang w:eastAsia="zh-CN"/>
        </w:rPr>
        <w:t xml:space="preserve"> </w:t>
      </w:r>
      <w:r>
        <w:rPr>
          <w:rFonts w:ascii="Arial" w:hAnsi="Arial" w:cs="Arial" w:hint="eastAsia"/>
          <w:lang w:eastAsia="zh-CN"/>
        </w:rPr>
        <w:t>Mingwei</w:t>
      </w:r>
      <w:r>
        <w:rPr>
          <w:rFonts w:ascii="Arial" w:hAnsi="Arial" w:cs="Arial"/>
          <w:lang w:eastAsia="zh-CN"/>
        </w:rPr>
        <w:t xml:space="preserve"> </w:t>
      </w:r>
      <w:r>
        <w:rPr>
          <w:rFonts w:ascii="Arial" w:hAnsi="Arial" w:cs="Arial" w:hint="eastAsia"/>
          <w:lang w:eastAsia="zh-CN"/>
        </w:rPr>
        <w:t>Ge*</w:t>
      </w:r>
      <w:r>
        <w:rPr>
          <w:rFonts w:ascii="Arial" w:hAnsi="Arial" w:cs="Arial"/>
          <w:lang w:eastAsia="zh-CN"/>
        </w:rPr>
        <w:t>*</w:t>
      </w:r>
      <w:r>
        <w:rPr>
          <w:rFonts w:ascii="Arial" w:hAnsi="Arial" w:cs="Arial" w:hint="eastAsia"/>
          <w:lang w:eastAsia="zh-CN"/>
        </w:rPr>
        <w:t>, Ying Shen*</w:t>
      </w:r>
      <w:r>
        <w:rPr>
          <w:rFonts w:ascii="Arial" w:hAnsi="Arial" w:cs="Arial"/>
          <w:lang w:eastAsia="zh-CN"/>
        </w:rPr>
        <w:t>*</w:t>
      </w:r>
    </w:p>
    <w:p w14:paraId="3A02CEBD" w14:textId="51C4E056" w:rsidR="001E20E7" w:rsidRDefault="001E20E7" w:rsidP="001E20E7">
      <w:pPr>
        <w:spacing w:after="40"/>
        <w:contextualSpacing/>
        <w:jc w:val="center"/>
        <w:rPr>
          <w:rFonts w:ascii="Arial" w:hAnsi="Arial" w:cs="Arial"/>
          <w:b/>
          <w:sz w:val="20"/>
        </w:rPr>
      </w:pPr>
      <w:r>
        <w:rPr>
          <w:rFonts w:ascii="Arial" w:hAnsi="Arial" w:cs="Arial"/>
          <w:b/>
          <w:sz w:val="20"/>
        </w:rPr>
        <w:t>*Guangzhou Govisionox Technology Co., Ltd. (</w:t>
      </w:r>
      <w:r w:rsidR="00012076" w:rsidRPr="00012076">
        <w:rPr>
          <w:rFonts w:ascii="Arial" w:hAnsi="Arial" w:cs="Arial" w:hint="eastAsia"/>
          <w:b/>
          <w:sz w:val="20"/>
        </w:rPr>
        <w:t>Visionox's Affiliated Company</w:t>
      </w:r>
      <w:r>
        <w:rPr>
          <w:rFonts w:ascii="Arial" w:hAnsi="Arial" w:cs="Arial"/>
          <w:b/>
          <w:sz w:val="20"/>
        </w:rPr>
        <w:t>), Guangzhou, Guangdong, China</w:t>
      </w:r>
    </w:p>
    <w:p w14:paraId="18C204C0" w14:textId="66653738" w:rsidR="001E20E7" w:rsidRPr="00F35AC0" w:rsidRDefault="001E20E7" w:rsidP="001E20E7">
      <w:pPr>
        <w:spacing w:after="40"/>
        <w:contextualSpacing/>
        <w:jc w:val="center"/>
        <w:rPr>
          <w:rFonts w:ascii="Arial" w:hAnsi="Arial" w:cs="Arial"/>
          <w:b/>
          <w:sz w:val="20"/>
          <w:lang w:eastAsia="zh-CN"/>
        </w:rPr>
      </w:pPr>
      <w:r w:rsidRPr="004B7504">
        <w:rPr>
          <w:rFonts w:ascii="Arial" w:hAnsi="Arial" w:cs="Arial"/>
          <w:b/>
          <w:sz w:val="20"/>
        </w:rPr>
        <w:t xml:space="preserve">**Guangzhou Govisionox Technology Co., Ltd. </w:t>
      </w:r>
      <w:r w:rsidR="00012076">
        <w:rPr>
          <w:rFonts w:ascii="Arial" w:hAnsi="Arial" w:cs="Arial"/>
          <w:b/>
          <w:sz w:val="20"/>
        </w:rPr>
        <w:t>(</w:t>
      </w:r>
      <w:r w:rsidR="00012076" w:rsidRPr="00012076">
        <w:rPr>
          <w:rFonts w:ascii="Arial" w:hAnsi="Arial" w:cs="Arial" w:hint="eastAsia"/>
          <w:b/>
          <w:sz w:val="20"/>
        </w:rPr>
        <w:t>Visionox's Affiliated Company</w:t>
      </w:r>
      <w:r w:rsidR="00012076">
        <w:rPr>
          <w:rFonts w:ascii="Arial" w:hAnsi="Arial" w:cs="Arial"/>
          <w:b/>
          <w:sz w:val="20"/>
        </w:rPr>
        <w:t>)</w:t>
      </w:r>
      <w:r w:rsidRPr="004B7504">
        <w:rPr>
          <w:rFonts w:ascii="Arial" w:hAnsi="Arial" w:cs="Arial"/>
          <w:b/>
          <w:sz w:val="20"/>
        </w:rPr>
        <w:t>, Guangzhou, Guangdong, China</w:t>
      </w:r>
    </w:p>
    <w:p w14:paraId="5B08E1F7" w14:textId="77777777" w:rsidR="00C27DAF" w:rsidRDefault="00C27DAF" w:rsidP="00C27DAF">
      <w:pPr>
        <w:rPr>
          <w:rFonts w:eastAsia="Malgun Gothic"/>
        </w:rPr>
      </w:pPr>
    </w:p>
    <w:p w14:paraId="1DD075E5" w14:textId="77777777" w:rsidR="00733C39" w:rsidRPr="004A499D" w:rsidRDefault="00733C39" w:rsidP="00C27DAF">
      <w:pPr>
        <w:rPr>
          <w:rFonts w:eastAsia="Malgun Gothic"/>
        </w:rPr>
        <w:sectPr w:rsidR="00733C39" w:rsidRPr="004A499D" w:rsidSect="005F156D">
          <w:headerReference w:type="even" r:id="rId8"/>
          <w:headerReference w:type="default" r:id="rId9"/>
          <w:footerReference w:type="even" r:id="rId10"/>
          <w:footerReference w:type="default" r:id="rId11"/>
          <w:headerReference w:type="first" r:id="rId12"/>
          <w:footerReference w:type="first" r:id="rId13"/>
          <w:pgSz w:w="12240" w:h="15840" w:code="1"/>
          <w:pgMar w:top="1224" w:right="1080" w:bottom="1440" w:left="1080" w:header="720" w:footer="576" w:gutter="0"/>
          <w:cols w:space="490"/>
          <w:titlePg/>
          <w:docGrid w:linePitch="360"/>
        </w:sectPr>
      </w:pPr>
    </w:p>
    <w:p w14:paraId="7B15FA59" w14:textId="3F5B4C2D" w:rsidR="000F2C33" w:rsidRPr="000F2C33" w:rsidRDefault="000F2C33" w:rsidP="0014033B">
      <w:pPr>
        <w:spacing w:after="0"/>
        <w:rPr>
          <w:rFonts w:ascii="Arial" w:eastAsia="Malgun Gothic" w:hAnsi="Arial" w:cs="Arial"/>
          <w:b/>
          <w:sz w:val="20"/>
        </w:rPr>
      </w:pPr>
      <w:r w:rsidRPr="001A7FAD">
        <w:rPr>
          <w:rFonts w:ascii="Arial" w:hAnsi="Arial" w:cs="Arial"/>
          <w:b/>
          <w:sz w:val="20"/>
        </w:rPr>
        <w:t>Abstract</w:t>
      </w:r>
    </w:p>
    <w:p w14:paraId="43441701" w14:textId="504B524D" w:rsidR="00CB2F77" w:rsidRPr="00E476B1" w:rsidRDefault="000F2C33" w:rsidP="00E476B1">
      <w:pPr>
        <w:rPr>
          <w:rFonts w:eastAsia="微软雅黑"/>
          <w:b/>
          <w:i/>
          <w:szCs w:val="18"/>
          <w:lang w:eastAsia="zh-CN"/>
        </w:rPr>
      </w:pPr>
      <w:r w:rsidRPr="00E476B1">
        <w:rPr>
          <w:rFonts w:eastAsia="微软雅黑"/>
          <w:b/>
          <w:i/>
          <w:szCs w:val="18"/>
          <w:lang w:eastAsia="zh-CN"/>
        </w:rPr>
        <w:t>Based on customer complaints and user feedback from the market, electrostatic failures in AMOLED mobile display modules have evolved from early hard ESD damage to soft failures induced by frictional electrostatic fields, with symptoms such as green tint and green flickering. This paper begins by analyzing the failure scenarios and subsequently develops two testing approaches: one involving electrostatic friction testing that closely simulates real-world user failure conditions, and another utilizing a high-voltage direct current electric field test for rapid excitation. The latter method proves instrumental in enhancing the anti-electrostatic field performance of OLED modules. Furthermore, the failure mechanism is investigated by examining the charge transfer pathways within the module under electrostatic fields, the endogenous electric field in the polyimide (PI) layer, and its impact on the electrical characteristics of the TFT back channel, specifically the threshold voltage (Vth) and subthreshold swing (SS</w:t>
      </w:r>
      <w:r w:rsidR="00ED77BD">
        <w:rPr>
          <w:rFonts w:eastAsia="微软雅黑"/>
          <w:b/>
          <w:i/>
          <w:szCs w:val="18"/>
          <w:lang w:eastAsia="zh-CN"/>
        </w:rPr>
        <w:t>.</w:t>
      </w:r>
      <w:r w:rsidRPr="00E476B1">
        <w:rPr>
          <w:rFonts w:eastAsia="微软雅黑"/>
          <w:b/>
          <w:i/>
          <w:szCs w:val="18"/>
          <w:lang w:eastAsia="zh-CN"/>
        </w:rPr>
        <w:t>). Finally, based on the failure mechanism analysis, countermeasures are proposed, including the implementation of BSM shielding in the display panel, optimization of three-layer film properties, adjustment of the BPF</w:t>
      </w:r>
      <w:r w:rsidR="00E476D9" w:rsidRPr="00E476B1">
        <w:rPr>
          <w:rFonts w:eastAsia="微软雅黑"/>
          <w:b/>
          <w:i/>
          <w:szCs w:val="18"/>
          <w:lang w:eastAsia="zh-CN"/>
        </w:rPr>
        <w:t xml:space="preserve"> </w:t>
      </w:r>
      <w:r w:rsidR="00D5304A" w:rsidRPr="00E476B1">
        <w:rPr>
          <w:rFonts w:eastAsia="微软雅黑" w:hint="eastAsia"/>
          <w:b/>
          <w:i/>
          <w:szCs w:val="18"/>
          <w:lang w:eastAsia="zh-CN"/>
        </w:rPr>
        <w:t>(</w:t>
      </w:r>
      <w:r w:rsidR="00062BA5" w:rsidRPr="00E476B1">
        <w:rPr>
          <w:rFonts w:eastAsia="微软雅黑"/>
          <w:b/>
          <w:i/>
          <w:szCs w:val="18"/>
          <w:lang w:eastAsia="zh-CN"/>
        </w:rPr>
        <w:t>B</w:t>
      </w:r>
      <w:r w:rsidR="00062BA5" w:rsidRPr="00E476B1">
        <w:rPr>
          <w:rFonts w:eastAsia="微软雅黑" w:hint="eastAsia"/>
          <w:b/>
          <w:i/>
          <w:szCs w:val="18"/>
          <w:lang w:eastAsia="zh-CN"/>
        </w:rPr>
        <w:t>ack</w:t>
      </w:r>
      <w:r w:rsidR="00062BA5" w:rsidRPr="00E476B1">
        <w:rPr>
          <w:rFonts w:eastAsia="微软雅黑"/>
          <w:b/>
          <w:i/>
          <w:szCs w:val="18"/>
          <w:lang w:eastAsia="zh-CN"/>
        </w:rPr>
        <w:t xml:space="preserve"> P</w:t>
      </w:r>
      <w:r w:rsidR="00062BA5" w:rsidRPr="00E476B1">
        <w:rPr>
          <w:rFonts w:eastAsia="微软雅黑" w:hint="eastAsia"/>
          <w:b/>
          <w:i/>
          <w:szCs w:val="18"/>
          <w:lang w:eastAsia="zh-CN"/>
        </w:rPr>
        <w:t>late</w:t>
      </w:r>
      <w:r w:rsidR="00062BA5" w:rsidRPr="00E476B1">
        <w:rPr>
          <w:rFonts w:eastAsia="微软雅黑"/>
          <w:b/>
          <w:i/>
          <w:szCs w:val="18"/>
          <w:lang w:eastAsia="zh-CN"/>
        </w:rPr>
        <w:t xml:space="preserve"> fil</w:t>
      </w:r>
      <w:r w:rsidR="00062BA5" w:rsidRPr="00E476B1">
        <w:rPr>
          <w:rFonts w:eastAsia="微软雅黑" w:hint="eastAsia"/>
          <w:b/>
          <w:i/>
          <w:szCs w:val="18"/>
          <w:lang w:eastAsia="zh-CN"/>
        </w:rPr>
        <w:t>m</w:t>
      </w:r>
      <w:r w:rsidR="00D5304A" w:rsidRPr="00E476B1">
        <w:rPr>
          <w:rFonts w:eastAsia="微软雅黑" w:hint="eastAsia"/>
          <w:b/>
          <w:i/>
          <w:szCs w:val="18"/>
          <w:lang w:eastAsia="zh-CN"/>
        </w:rPr>
        <w:t>)</w:t>
      </w:r>
      <w:r w:rsidRPr="00E476B1">
        <w:rPr>
          <w:rFonts w:eastAsia="微软雅黑"/>
          <w:b/>
          <w:i/>
          <w:szCs w:val="18"/>
          <w:lang w:eastAsia="zh-CN"/>
        </w:rPr>
        <w:t>, increased impedance of the PI layer, and process improvements in modul</w:t>
      </w:r>
      <w:r w:rsidRPr="00E476B1">
        <w:rPr>
          <w:rFonts w:eastAsia="微软雅黑"/>
          <w:i/>
          <w:szCs w:val="18"/>
          <w:lang w:eastAsia="zh-CN"/>
        </w:rPr>
        <w:t xml:space="preserve">e </w:t>
      </w:r>
      <w:r w:rsidRPr="00E476B1">
        <w:rPr>
          <w:rStyle w:val="Abstract"/>
          <w:rFonts w:ascii="Times New Roman" w:eastAsiaTheme="minorEastAsia" w:hAnsi="Times New Roman"/>
          <w:i/>
          <w:sz w:val="18"/>
          <w:szCs w:val="18"/>
        </w:rPr>
        <w:t>manufacturing</w:t>
      </w:r>
      <w:r w:rsidRPr="00E476B1">
        <w:rPr>
          <w:rFonts w:eastAsia="微软雅黑"/>
          <w:i/>
          <w:szCs w:val="18"/>
          <w:lang w:eastAsia="zh-CN"/>
        </w:rPr>
        <w:t>.</w:t>
      </w:r>
      <w:r w:rsidR="00FC3A91" w:rsidRPr="00E476B1">
        <w:rPr>
          <w:rFonts w:eastAsia="微软雅黑"/>
          <w:i/>
          <w:szCs w:val="18"/>
          <w:lang w:eastAsia="zh-CN"/>
        </w:rPr>
        <w:t xml:space="preserve"> </w:t>
      </w:r>
    </w:p>
    <w:p w14:paraId="340FD779" w14:textId="2633647F" w:rsidR="0014033B" w:rsidRPr="00CB2F77" w:rsidRDefault="000F2C33" w:rsidP="0014033B">
      <w:pPr>
        <w:spacing w:after="0"/>
        <w:rPr>
          <w:rFonts w:eastAsia="微软雅黑"/>
          <w:b/>
          <w:i/>
          <w:szCs w:val="18"/>
          <w:lang w:eastAsia="zh-CN"/>
        </w:rPr>
      </w:pPr>
      <w:r w:rsidRPr="00DA4BA6">
        <w:rPr>
          <w:rFonts w:ascii="Arial" w:hAnsi="Arial" w:cs="Arial"/>
          <w:b/>
          <w:sz w:val="20"/>
        </w:rPr>
        <w:t>Author Keywords</w:t>
      </w:r>
    </w:p>
    <w:p w14:paraId="5ECA1B5D" w14:textId="30EF52D3" w:rsidR="0014033B" w:rsidRPr="009201D4" w:rsidRDefault="0014033B" w:rsidP="00CB2F77">
      <w:pPr>
        <w:spacing w:after="0"/>
        <w:rPr>
          <w:szCs w:val="18"/>
        </w:rPr>
      </w:pPr>
      <w:r w:rsidRPr="009201D4">
        <w:rPr>
          <w:szCs w:val="18"/>
        </w:rPr>
        <w:t>AMOLED</w:t>
      </w:r>
      <w:r w:rsidR="00A42D21" w:rsidRPr="009201D4">
        <w:rPr>
          <w:szCs w:val="18"/>
        </w:rPr>
        <w:t xml:space="preserve">; </w:t>
      </w:r>
      <w:r w:rsidR="000F2C33" w:rsidRPr="009201D4">
        <w:rPr>
          <w:szCs w:val="18"/>
        </w:rPr>
        <w:t>Electrostatic Field</w:t>
      </w:r>
      <w:r w:rsidR="00A42D21" w:rsidRPr="009201D4">
        <w:rPr>
          <w:szCs w:val="18"/>
        </w:rPr>
        <w:t xml:space="preserve">; </w:t>
      </w:r>
      <w:r w:rsidRPr="009201D4">
        <w:rPr>
          <w:szCs w:val="18"/>
        </w:rPr>
        <w:t>TFT</w:t>
      </w:r>
      <w:r w:rsidR="00A42D21" w:rsidRPr="009201D4">
        <w:rPr>
          <w:szCs w:val="18"/>
        </w:rPr>
        <w:t xml:space="preserve">; </w:t>
      </w:r>
      <w:r w:rsidRPr="009201D4">
        <w:rPr>
          <w:szCs w:val="18"/>
        </w:rPr>
        <w:t>Vth</w:t>
      </w:r>
      <w:r w:rsidR="00A42D21" w:rsidRPr="009201D4">
        <w:rPr>
          <w:szCs w:val="18"/>
        </w:rPr>
        <w:t xml:space="preserve">; </w:t>
      </w:r>
      <w:r w:rsidRPr="009201D4">
        <w:rPr>
          <w:szCs w:val="18"/>
        </w:rPr>
        <w:t>BSM</w:t>
      </w:r>
    </w:p>
    <w:p w14:paraId="085BE454" w14:textId="48533286" w:rsidR="00137F42" w:rsidRPr="002C3F9D" w:rsidRDefault="00137F42" w:rsidP="003C1BC3">
      <w:pPr>
        <w:pStyle w:val="1"/>
        <w:numPr>
          <w:ilvl w:val="0"/>
          <w:numId w:val="2"/>
        </w:numPr>
        <w:tabs>
          <w:tab w:val="clear" w:pos="2203"/>
          <w:tab w:val="num" w:pos="360"/>
        </w:tabs>
        <w:ind w:left="360"/>
        <w:rPr>
          <w:rFonts w:ascii="Arial" w:eastAsia="微软雅黑" w:hAnsi="Arial" w:cs="Arial"/>
          <w:sz w:val="20"/>
          <w:lang w:eastAsia="zh-CN"/>
        </w:rPr>
      </w:pPr>
      <w:r w:rsidRPr="002C3F9D">
        <w:rPr>
          <w:rFonts w:ascii="Arial" w:eastAsia="微软雅黑" w:hAnsi="Arial" w:cs="Arial"/>
          <w:sz w:val="20"/>
          <w:lang w:eastAsia="zh-CN"/>
        </w:rPr>
        <w:t>Introduction</w:t>
      </w:r>
    </w:p>
    <w:p w14:paraId="60C990BA" w14:textId="74554858" w:rsidR="00CE681E" w:rsidRDefault="004A499D" w:rsidP="00CE681E">
      <w:pPr>
        <w:rPr>
          <w:rFonts w:eastAsia="微软雅黑"/>
          <w:szCs w:val="18"/>
          <w:lang w:eastAsia="zh-CN"/>
        </w:rPr>
      </w:pPr>
      <w:r>
        <w:rPr>
          <w:rFonts w:eastAsia="微软雅黑" w:hint="eastAsia"/>
          <w:szCs w:val="18"/>
          <w:lang w:eastAsia="zh-CN"/>
        </w:rPr>
        <w:t>The</w:t>
      </w:r>
      <w:r>
        <w:rPr>
          <w:rFonts w:eastAsia="微软雅黑"/>
          <w:szCs w:val="18"/>
          <w:lang w:eastAsia="zh-CN"/>
        </w:rPr>
        <w:t xml:space="preserve"> </w:t>
      </w:r>
      <w:r w:rsidR="00576CC5" w:rsidRPr="00576CC5">
        <w:rPr>
          <w:rFonts w:eastAsia="微软雅黑" w:hint="eastAsia"/>
          <w:szCs w:val="18"/>
          <w:lang w:eastAsia="zh-CN"/>
        </w:rPr>
        <w:t>protection of AMOLED</w:t>
      </w:r>
      <w:r w:rsidR="00CE681E">
        <w:rPr>
          <w:rFonts w:eastAsia="微软雅黑"/>
          <w:szCs w:val="18"/>
          <w:lang w:eastAsia="zh-CN"/>
        </w:rPr>
        <w:t xml:space="preserve"> </w:t>
      </w:r>
      <w:r w:rsidR="0068425A">
        <w:rPr>
          <w:rFonts w:eastAsia="微软雅黑"/>
          <w:szCs w:val="18"/>
          <w:lang w:eastAsia="zh-CN"/>
        </w:rPr>
        <w:t>(</w:t>
      </w:r>
      <w:r w:rsidR="0068425A" w:rsidRPr="00B9234D">
        <w:rPr>
          <w:rFonts w:eastAsia="微软雅黑"/>
          <w:szCs w:val="18"/>
          <w:lang w:eastAsia="zh-CN"/>
        </w:rPr>
        <w:t>Active-Matrix</w:t>
      </w:r>
      <w:r w:rsidR="0068425A">
        <w:rPr>
          <w:rFonts w:eastAsia="微软雅黑"/>
          <w:szCs w:val="18"/>
          <w:lang w:eastAsia="zh-CN"/>
        </w:rPr>
        <w:t xml:space="preserve"> </w:t>
      </w:r>
      <w:r w:rsidR="0068425A" w:rsidRPr="00B9234D">
        <w:rPr>
          <w:rFonts w:eastAsia="微软雅黑"/>
          <w:szCs w:val="18"/>
          <w:lang w:eastAsia="zh-CN"/>
        </w:rPr>
        <w:t>Organic Light-Emitting Diode)</w:t>
      </w:r>
      <w:r w:rsidR="00576CC5" w:rsidRPr="00576CC5">
        <w:rPr>
          <w:rFonts w:eastAsia="微软雅黑" w:hint="eastAsia"/>
          <w:szCs w:val="18"/>
          <w:lang w:eastAsia="zh-CN"/>
        </w:rPr>
        <w:t xml:space="preserve"> modules a</w:t>
      </w:r>
      <w:r>
        <w:rPr>
          <w:rFonts w:eastAsia="微软雅黑" w:hint="eastAsia"/>
          <w:szCs w:val="18"/>
          <w:lang w:eastAsia="zh-CN"/>
        </w:rPr>
        <w:t>gainst electrostatic discharge</w:t>
      </w:r>
      <w:r w:rsidR="003D147F">
        <w:rPr>
          <w:rFonts w:eastAsia="微软雅黑"/>
          <w:szCs w:val="18"/>
          <w:lang w:eastAsia="zh-CN"/>
        </w:rPr>
        <w:t xml:space="preserve"> </w:t>
      </w:r>
      <w:r>
        <w:rPr>
          <w:rFonts w:eastAsia="微软雅黑"/>
          <w:szCs w:val="18"/>
          <w:lang w:eastAsia="zh-CN"/>
        </w:rPr>
        <w:t>(</w:t>
      </w:r>
      <w:r>
        <w:rPr>
          <w:rFonts w:eastAsia="微软雅黑" w:hint="eastAsia"/>
          <w:szCs w:val="18"/>
          <w:lang w:eastAsia="zh-CN"/>
        </w:rPr>
        <w:t>ESD</w:t>
      </w:r>
      <w:r>
        <w:rPr>
          <w:rFonts w:eastAsia="微软雅黑"/>
          <w:szCs w:val="18"/>
          <w:lang w:eastAsia="zh-CN"/>
        </w:rPr>
        <w:t xml:space="preserve">) </w:t>
      </w:r>
      <w:r w:rsidR="00576CC5" w:rsidRPr="00576CC5">
        <w:rPr>
          <w:rFonts w:eastAsia="微软雅黑" w:hint="eastAsia"/>
          <w:szCs w:val="18"/>
          <w:lang w:eastAsia="zh-CN"/>
        </w:rPr>
        <w:t>has evolved from guarding against transient discharges</w:t>
      </w:r>
      <w:r w:rsidR="00576CC5" w:rsidRPr="00576CC5">
        <w:rPr>
          <w:rFonts w:eastAsia="微软雅黑"/>
          <w:szCs w:val="18"/>
          <w:lang w:eastAsia="zh-CN"/>
        </w:rPr>
        <w:t>-</w:t>
      </w:r>
      <w:r w:rsidR="00576CC5" w:rsidRPr="00576CC5">
        <w:rPr>
          <w:rFonts w:eastAsia="微软雅黑" w:hint="eastAsia"/>
          <w:szCs w:val="18"/>
          <w:lang w:eastAsia="zh-CN"/>
        </w:rPr>
        <w:t>such as the Human Body Mode</w:t>
      </w:r>
      <w:r>
        <w:rPr>
          <w:rFonts w:eastAsia="微软雅黑" w:hint="eastAsia"/>
          <w:szCs w:val="18"/>
          <w:lang w:eastAsia="zh-CN"/>
        </w:rPr>
        <w:t>l (HBM) and Machine Model (MM),</w:t>
      </w:r>
      <w:r>
        <w:rPr>
          <w:rFonts w:eastAsia="微软雅黑"/>
          <w:szCs w:val="18"/>
          <w:lang w:eastAsia="zh-CN"/>
        </w:rPr>
        <w:t xml:space="preserve"> </w:t>
      </w:r>
      <w:r w:rsidR="00576CC5" w:rsidRPr="00576CC5">
        <w:rPr>
          <w:rFonts w:eastAsia="微软雅黑" w:hint="eastAsia"/>
          <w:szCs w:val="18"/>
          <w:lang w:eastAsia="zh-CN"/>
        </w:rPr>
        <w:t>which occur on nanosecond to picosecond timescales</w:t>
      </w:r>
      <w:r w:rsidR="00576CC5" w:rsidRPr="00576CC5">
        <w:rPr>
          <w:rFonts w:eastAsia="微软雅黑"/>
          <w:szCs w:val="18"/>
          <w:lang w:eastAsia="zh-CN"/>
        </w:rPr>
        <w:t>-</w:t>
      </w:r>
      <w:r w:rsidR="00576CC5" w:rsidRPr="00576CC5">
        <w:rPr>
          <w:rFonts w:eastAsia="微软雅黑" w:hint="eastAsia"/>
          <w:szCs w:val="18"/>
          <w:lang w:eastAsia="zh-CN"/>
        </w:rPr>
        <w:t>to defending against sustained</w:t>
      </w:r>
      <w:r w:rsidR="00576CC5" w:rsidRPr="00576CC5">
        <w:rPr>
          <w:rFonts w:eastAsia="微软雅黑"/>
          <w:szCs w:val="18"/>
          <w:lang w:eastAsia="zh-CN"/>
        </w:rPr>
        <w:t xml:space="preserve"> </w:t>
      </w:r>
      <w:r w:rsidR="00576CC5" w:rsidRPr="00576CC5">
        <w:rPr>
          <w:rFonts w:eastAsia="微软雅黑" w:hint="eastAsia"/>
          <w:szCs w:val="18"/>
          <w:lang w:eastAsia="zh-CN"/>
        </w:rPr>
        <w:t>electrostatic fields. According to consumer feedback and market complaints, a growing number of electrostatic-related failure scenarios no longer involve instantaneous ESD</w:t>
      </w:r>
      <w:r w:rsidR="00726D8D">
        <w:rPr>
          <w:rFonts w:eastAsia="微软雅黑"/>
          <w:szCs w:val="18"/>
          <w:lang w:eastAsia="zh-CN"/>
        </w:rPr>
        <w:t xml:space="preserve"> [1]</w:t>
      </w:r>
      <w:r w:rsidR="00576CC5" w:rsidRPr="00576CC5">
        <w:rPr>
          <w:rFonts w:eastAsia="微软雅黑" w:hint="eastAsia"/>
          <w:szCs w:val="18"/>
          <w:lang w:eastAsia="zh-CN"/>
        </w:rPr>
        <w:t xml:space="preserve"> damage leading to permanent product failure. Instead, soft failures</w:t>
      </w:r>
      <w:r w:rsidR="00576CC5" w:rsidRPr="00576CC5">
        <w:rPr>
          <w:rFonts w:eastAsia="微软雅黑"/>
          <w:szCs w:val="18"/>
          <w:lang w:eastAsia="zh-CN"/>
        </w:rPr>
        <w:t>-</w:t>
      </w:r>
      <w:r w:rsidR="00576CC5" w:rsidRPr="00576CC5">
        <w:rPr>
          <w:rFonts w:eastAsia="微软雅黑" w:hint="eastAsia"/>
          <w:szCs w:val="18"/>
          <w:lang w:eastAsia="zh-CN"/>
        </w:rPr>
        <w:t>recoverable malfunctions</w:t>
      </w:r>
      <w:r w:rsidR="00576CC5" w:rsidRPr="00576CC5">
        <w:rPr>
          <w:rFonts w:eastAsia="微软雅黑"/>
          <w:szCs w:val="18"/>
          <w:lang w:eastAsia="zh-CN"/>
        </w:rPr>
        <w:t>-</w:t>
      </w:r>
      <w:r w:rsidR="00576CC5" w:rsidRPr="00576CC5">
        <w:rPr>
          <w:rFonts w:eastAsia="微软雅黑" w:hint="eastAsia"/>
          <w:szCs w:val="18"/>
          <w:lang w:eastAsia="zh-CN"/>
        </w:rPr>
        <w:t xml:space="preserve">are increasingly observed after the device has been exposed to an electrostatic field for a certain period. User feedback indicates that these failures occur predominantly in northern regions, especially during dry autumn and winter seasons. A necessary condition for such failures is that the mobile phone is placed in a clothing or trouser pocket while the user walks for some time. It can thus be inferred that these failures result from continuous exposure to frictional electrostatic effects. Typical symptoms include a green tint, green flickering, or localized bright spots. However, after the device remains idle for a period, the failure phenomena disappear, and normal function is restored. </w:t>
      </w:r>
      <w:r w:rsidR="00CE681E" w:rsidRPr="00CE681E">
        <w:rPr>
          <w:rFonts w:eastAsia="微软雅黑" w:hint="eastAsia"/>
          <w:szCs w:val="18"/>
          <w:lang w:eastAsia="zh-CN"/>
        </w:rPr>
        <w:t>A comprehensive study, encompassing failure analysis, mechanistic understanding, corrective measures, and the design of a robust testing methodology, merits significant research attention.</w:t>
      </w:r>
    </w:p>
    <w:p w14:paraId="48BECB5D" w14:textId="04CB89A2" w:rsidR="004A499D" w:rsidRPr="002C3F9D" w:rsidRDefault="00CE681E" w:rsidP="00CE681E">
      <w:pPr>
        <w:pStyle w:val="1"/>
        <w:numPr>
          <w:ilvl w:val="0"/>
          <w:numId w:val="2"/>
        </w:numPr>
        <w:tabs>
          <w:tab w:val="clear" w:pos="2203"/>
          <w:tab w:val="num" w:pos="360"/>
        </w:tabs>
        <w:ind w:left="360"/>
        <w:rPr>
          <w:rFonts w:ascii="Arial" w:eastAsia="微软雅黑" w:hAnsi="Arial" w:cs="Arial"/>
          <w:sz w:val="20"/>
          <w:lang w:eastAsia="zh-CN"/>
        </w:rPr>
      </w:pPr>
      <w:r w:rsidRPr="002C3F9D">
        <w:rPr>
          <w:rFonts w:ascii="Arial" w:eastAsia="微软雅黑" w:hAnsi="Arial" w:cs="Arial"/>
          <w:sz w:val="20"/>
          <w:lang w:eastAsia="zh-CN"/>
        </w:rPr>
        <w:t xml:space="preserve"> </w:t>
      </w:r>
      <w:r w:rsidR="006365A1" w:rsidRPr="002C3F9D">
        <w:rPr>
          <w:rFonts w:ascii="Arial" w:eastAsia="微软雅黑" w:hAnsi="Arial" w:cs="Arial"/>
          <w:sz w:val="20"/>
          <w:lang w:eastAsia="zh-CN"/>
        </w:rPr>
        <w:t>Investigation o</w:t>
      </w:r>
      <w:r w:rsidR="006365A1" w:rsidRPr="002C3F9D">
        <w:rPr>
          <w:rFonts w:ascii="Arial" w:eastAsia="微软雅黑" w:hAnsi="Arial" w:cs="Arial" w:hint="eastAsia"/>
          <w:sz w:val="20"/>
          <w:lang w:eastAsia="zh-CN"/>
        </w:rPr>
        <w:t>f</w:t>
      </w:r>
      <w:r w:rsidR="006365A1" w:rsidRPr="002C3F9D">
        <w:rPr>
          <w:rFonts w:ascii="Arial" w:eastAsia="微软雅黑" w:hAnsi="Arial" w:cs="Arial"/>
          <w:sz w:val="20"/>
          <w:lang w:eastAsia="zh-CN"/>
        </w:rPr>
        <w:t xml:space="preserve"> T</w:t>
      </w:r>
      <w:r w:rsidR="006365A1" w:rsidRPr="002C3F9D">
        <w:rPr>
          <w:rFonts w:ascii="Arial" w:eastAsia="微软雅黑" w:hAnsi="Arial" w:cs="Arial" w:hint="eastAsia"/>
          <w:sz w:val="20"/>
          <w:lang w:eastAsia="zh-CN"/>
        </w:rPr>
        <w:t>es</w:t>
      </w:r>
      <w:r w:rsidR="00BE2EBC">
        <w:rPr>
          <w:rFonts w:ascii="Arial" w:eastAsia="微软雅黑" w:hAnsi="Arial" w:cs="Arial"/>
          <w:sz w:val="20"/>
          <w:lang w:eastAsia="zh-CN"/>
        </w:rPr>
        <w:t>ting Me</w:t>
      </w:r>
      <w:r w:rsidR="008E449B">
        <w:rPr>
          <w:rFonts w:ascii="Arial" w:eastAsia="微软雅黑" w:hAnsi="Arial" w:cs="Arial"/>
          <w:sz w:val="20"/>
          <w:lang w:eastAsia="zh-CN"/>
        </w:rPr>
        <w:t>thod</w:t>
      </w:r>
    </w:p>
    <w:p w14:paraId="1F0D72B4" w14:textId="49B7A038" w:rsidR="006365A1" w:rsidRDefault="007C2AF7" w:rsidP="006365A1">
      <w:pPr>
        <w:rPr>
          <w:rFonts w:eastAsia="微软雅黑"/>
          <w:szCs w:val="18"/>
          <w:lang w:eastAsia="zh-CN"/>
        </w:rPr>
      </w:pPr>
      <w:r w:rsidRPr="007C2AF7">
        <w:rPr>
          <w:rFonts w:eastAsia="微软雅黑" w:hint="eastAsia"/>
          <w:szCs w:val="18"/>
          <w:lang w:eastAsia="zh-CN"/>
        </w:rPr>
        <w:t xml:space="preserve">As is well established, triboelectrification is a prerequisite for </w:t>
      </w:r>
      <w:r w:rsidRPr="007C2AF7">
        <w:rPr>
          <w:rFonts w:eastAsia="微软雅黑" w:hint="eastAsia"/>
          <w:szCs w:val="18"/>
          <w:lang w:eastAsia="zh-CN"/>
        </w:rPr>
        <w:t>electrostatic generation, and the failure environment for the product is an electrostatic field formed by continuous friction. Based on this necessary condition, we have explored the following test method to identify a friction head capable of easily generating triboelectric charges on the Cover Glass (CG) surface of individual modules. After investigation, a conductive nanofiber cloth was selected to fabricate the friction head, referred to herein as the "Electrostatic Friction Head." The</w:t>
      </w:r>
      <w:r w:rsidR="00733C39">
        <w:rPr>
          <w:rFonts w:eastAsia="微软雅黑"/>
          <w:szCs w:val="18"/>
          <w:lang w:eastAsia="zh-CN"/>
        </w:rPr>
        <w:t xml:space="preserve"> </w:t>
      </w:r>
      <w:r w:rsidRPr="007C2AF7">
        <w:rPr>
          <w:rFonts w:eastAsia="微软雅黑" w:hint="eastAsia"/>
          <w:szCs w:val="18"/>
          <w:lang w:eastAsia="zh-CN"/>
        </w:rPr>
        <w:t>corresponding test is designated as the Electrostatic Friction Test. The detailed testing proc</w:t>
      </w:r>
      <w:r w:rsidR="00C863D8">
        <w:rPr>
          <w:rFonts w:eastAsia="微软雅黑" w:hint="eastAsia"/>
          <w:szCs w:val="18"/>
          <w:lang w:eastAsia="zh-CN"/>
        </w:rPr>
        <w:t>edure is summarized in Table 1</w:t>
      </w:r>
      <w:r w:rsidRPr="007C2AF7">
        <w:rPr>
          <w:rFonts w:eastAsia="微软雅黑" w:hint="eastAsia"/>
          <w:szCs w:val="18"/>
          <w:lang w:eastAsia="zh-CN"/>
        </w:rPr>
        <w:t xml:space="preserve"> below.</w:t>
      </w:r>
    </w:p>
    <w:p w14:paraId="3B82B4A5" w14:textId="77777777" w:rsidR="00B35D55" w:rsidRDefault="00B35D55" w:rsidP="006365A1">
      <w:pPr>
        <w:rPr>
          <w:rFonts w:eastAsia="微软雅黑"/>
          <w:szCs w:val="18"/>
          <w:lang w:eastAsia="zh-CN"/>
        </w:rPr>
      </w:pPr>
    </w:p>
    <w:p w14:paraId="4F24594B" w14:textId="1FD17C67" w:rsidR="007C2AF7" w:rsidRPr="002E31D0" w:rsidRDefault="00D263C3" w:rsidP="006365A1">
      <w:pPr>
        <w:rPr>
          <w:rFonts w:ascii="Arial" w:eastAsia="微软雅黑" w:hAnsi="Arial" w:cs="Arial"/>
          <w:szCs w:val="18"/>
          <w:lang w:eastAsia="zh-CN"/>
        </w:rPr>
      </w:pPr>
      <w:r>
        <w:rPr>
          <w:rFonts w:ascii="Arial" w:eastAsia="微软雅黑" w:hAnsi="Arial" w:cs="Arial"/>
          <w:b/>
          <w:szCs w:val="18"/>
          <w:lang w:eastAsia="zh-CN"/>
        </w:rPr>
        <w:t>Table 1.</w:t>
      </w:r>
      <w:r w:rsidR="001F0DCD">
        <w:rPr>
          <w:rFonts w:ascii="Arial" w:eastAsia="微软雅黑" w:hAnsi="Arial" w:cs="Arial"/>
          <w:b/>
          <w:szCs w:val="18"/>
          <w:lang w:eastAsia="zh-CN"/>
        </w:rPr>
        <w:t xml:space="preserve"> </w:t>
      </w:r>
      <w:r w:rsidR="007C2AF7" w:rsidRPr="002E31D0">
        <w:rPr>
          <w:rFonts w:ascii="Arial" w:eastAsia="微软雅黑" w:hAnsi="Arial" w:cs="Arial"/>
          <w:szCs w:val="18"/>
          <w:lang w:eastAsia="zh-CN"/>
        </w:rPr>
        <w:t>Electrostatic Friction Test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094"/>
      </w:tblGrid>
      <w:tr w:rsidR="007C2AF7" w:rsidRPr="005B4E52" w14:paraId="0DD99C4D" w14:textId="77777777" w:rsidTr="00F20686">
        <w:tc>
          <w:tcPr>
            <w:tcW w:w="1701" w:type="dxa"/>
            <w:tcBorders>
              <w:left w:val="nil"/>
            </w:tcBorders>
            <w:shd w:val="clear" w:color="auto" w:fill="auto"/>
            <w:vAlign w:val="center"/>
          </w:tcPr>
          <w:p w14:paraId="36DA8E52" w14:textId="0CA993E7" w:rsidR="007C2AF7" w:rsidRPr="007C2AF7" w:rsidRDefault="007C2AF7" w:rsidP="007442F5">
            <w:pPr>
              <w:rPr>
                <w:rFonts w:eastAsia="微软雅黑"/>
                <w:szCs w:val="18"/>
                <w:lang w:eastAsia="zh-CN"/>
              </w:rPr>
            </w:pPr>
            <w:r w:rsidRPr="007C2AF7">
              <w:rPr>
                <w:rFonts w:eastAsia="微软雅黑" w:hint="eastAsia"/>
                <w:szCs w:val="18"/>
                <w:lang w:eastAsia="zh-CN"/>
              </w:rPr>
              <w:t>Test Environment</w:t>
            </w:r>
          </w:p>
        </w:tc>
        <w:tc>
          <w:tcPr>
            <w:tcW w:w="3094" w:type="dxa"/>
            <w:tcBorders>
              <w:right w:val="nil"/>
            </w:tcBorders>
            <w:shd w:val="clear" w:color="auto" w:fill="auto"/>
            <w:vAlign w:val="center"/>
          </w:tcPr>
          <w:p w14:paraId="7992BFEB" w14:textId="78C392B6" w:rsidR="007C2AF7" w:rsidRPr="005B4E52" w:rsidRDefault="007C2AF7" w:rsidP="007442F5">
            <w:pPr>
              <w:jc w:val="left"/>
              <w:rPr>
                <w:rFonts w:eastAsia="微软雅黑"/>
                <w:szCs w:val="18"/>
                <w:lang w:eastAsia="zh-CN"/>
              </w:rPr>
            </w:pPr>
            <w:r>
              <w:rPr>
                <w:rFonts w:eastAsia="微软雅黑" w:hint="eastAsia"/>
                <w:szCs w:val="18"/>
                <w:lang w:eastAsia="zh-CN"/>
              </w:rPr>
              <w:t>Tem</w:t>
            </w:r>
            <w:r>
              <w:rPr>
                <w:rFonts w:eastAsia="微软雅黑"/>
                <w:szCs w:val="18"/>
                <w:lang w:eastAsia="zh-CN"/>
              </w:rPr>
              <w:t>perature</w:t>
            </w:r>
            <w:r w:rsidR="00A91149">
              <w:rPr>
                <w:rFonts w:eastAsia="微软雅黑" w:hint="eastAsia"/>
                <w:szCs w:val="18"/>
                <w:lang w:eastAsia="zh-CN"/>
              </w:rPr>
              <w:t>:</w:t>
            </w:r>
            <w:r w:rsidR="00A91149">
              <w:rPr>
                <w:rFonts w:eastAsia="微软雅黑"/>
                <w:szCs w:val="18"/>
                <w:lang w:eastAsia="zh-CN"/>
              </w:rPr>
              <w:t xml:space="preserve"> </w:t>
            </w:r>
            <w:r w:rsidRPr="005B4E52">
              <w:rPr>
                <w:rFonts w:eastAsia="微软雅黑" w:hint="eastAsia"/>
                <w:szCs w:val="18"/>
                <w:lang w:eastAsia="zh-CN"/>
              </w:rPr>
              <w:t>23</w:t>
            </w:r>
            <w:r w:rsidRPr="005B4E52">
              <w:rPr>
                <w:rFonts w:eastAsia="微软雅黑" w:hint="eastAsia"/>
                <w:szCs w:val="18"/>
                <w:lang w:eastAsia="zh-CN"/>
              </w:rPr>
              <w:t>±</w:t>
            </w:r>
            <w:r w:rsidRPr="005B4E52">
              <w:rPr>
                <w:rFonts w:eastAsia="微软雅黑" w:hint="eastAsia"/>
                <w:szCs w:val="18"/>
                <w:lang w:eastAsia="zh-CN"/>
              </w:rPr>
              <w:t>3</w:t>
            </w:r>
            <w:r w:rsidR="00A91149">
              <w:rPr>
                <w:rFonts w:eastAsia="微软雅黑" w:hint="eastAsia"/>
                <w:szCs w:val="18"/>
                <w:lang w:eastAsia="zh-CN"/>
              </w:rPr>
              <w:t>℃</w:t>
            </w:r>
            <w:r w:rsidR="00A91149">
              <w:rPr>
                <w:rFonts w:eastAsia="微软雅黑" w:hint="eastAsia"/>
                <w:szCs w:val="18"/>
                <w:lang w:eastAsia="zh-CN"/>
              </w:rPr>
              <w:t>,</w:t>
            </w:r>
            <w:r w:rsidR="00A91149">
              <w:rPr>
                <w:rFonts w:eastAsia="微软雅黑"/>
                <w:szCs w:val="18"/>
                <w:lang w:eastAsia="zh-CN"/>
              </w:rPr>
              <w:t xml:space="preserve"> </w:t>
            </w:r>
            <w:r w:rsidR="00F20686">
              <w:rPr>
                <w:rFonts w:eastAsia="微软雅黑" w:hint="eastAsia"/>
                <w:szCs w:val="18"/>
                <w:lang w:eastAsia="zh-CN"/>
              </w:rPr>
              <w:t>R</w:t>
            </w:r>
            <w:r w:rsidR="00F20686">
              <w:rPr>
                <w:rFonts w:eastAsia="微软雅黑"/>
                <w:szCs w:val="18"/>
                <w:lang w:eastAsia="zh-CN"/>
              </w:rPr>
              <w:t>H</w:t>
            </w:r>
            <w:r w:rsidR="006A0DB1">
              <w:rPr>
                <w:rFonts w:eastAsia="微软雅黑" w:hint="eastAsia"/>
                <w:szCs w:val="18"/>
                <w:lang w:eastAsia="zh-CN"/>
              </w:rPr>
              <w:t>:</w:t>
            </w:r>
            <w:r w:rsidR="006A0DB1">
              <w:rPr>
                <w:rFonts w:eastAsia="微软雅黑"/>
                <w:szCs w:val="18"/>
                <w:lang w:eastAsia="zh-CN"/>
              </w:rPr>
              <w:t xml:space="preserve"> </w:t>
            </w:r>
            <w:r w:rsidRPr="005B4E52">
              <w:rPr>
                <w:rFonts w:eastAsia="微软雅黑" w:hint="eastAsia"/>
                <w:szCs w:val="18"/>
                <w:lang w:eastAsia="zh-CN"/>
              </w:rPr>
              <w:t>35%RH~65%RH</w:t>
            </w:r>
          </w:p>
        </w:tc>
      </w:tr>
      <w:tr w:rsidR="007C2AF7" w:rsidRPr="005B4E52" w14:paraId="0FC12112" w14:textId="77777777" w:rsidTr="00F20686">
        <w:tc>
          <w:tcPr>
            <w:tcW w:w="1701" w:type="dxa"/>
            <w:tcBorders>
              <w:left w:val="nil"/>
              <w:bottom w:val="single" w:sz="4" w:space="0" w:color="auto"/>
            </w:tcBorders>
            <w:shd w:val="clear" w:color="auto" w:fill="auto"/>
            <w:vAlign w:val="center"/>
          </w:tcPr>
          <w:p w14:paraId="704DE83F" w14:textId="587123C5" w:rsidR="007C2AF7" w:rsidRPr="007C2AF7" w:rsidRDefault="007C2AF7" w:rsidP="007442F5">
            <w:pPr>
              <w:rPr>
                <w:rFonts w:eastAsia="微软雅黑"/>
                <w:szCs w:val="18"/>
                <w:lang w:eastAsia="zh-CN"/>
              </w:rPr>
            </w:pPr>
            <w:r w:rsidRPr="007C2AF7">
              <w:rPr>
                <w:rFonts w:eastAsia="微软雅黑" w:hint="eastAsia"/>
                <w:szCs w:val="18"/>
                <w:lang w:eastAsia="zh-CN"/>
              </w:rPr>
              <w:t>Test Equipment</w:t>
            </w:r>
          </w:p>
        </w:tc>
        <w:tc>
          <w:tcPr>
            <w:tcW w:w="3094" w:type="dxa"/>
            <w:tcBorders>
              <w:bottom w:val="single" w:sz="4" w:space="0" w:color="auto"/>
              <w:right w:val="nil"/>
            </w:tcBorders>
            <w:shd w:val="clear" w:color="auto" w:fill="auto"/>
            <w:vAlign w:val="center"/>
          </w:tcPr>
          <w:p w14:paraId="77D3B484" w14:textId="08E5DC65" w:rsidR="007C2AF7" w:rsidRPr="005B4E52" w:rsidRDefault="00F20686" w:rsidP="007442F5">
            <w:pPr>
              <w:jc w:val="left"/>
              <w:rPr>
                <w:rFonts w:eastAsia="微软雅黑"/>
                <w:szCs w:val="18"/>
                <w:lang w:eastAsia="zh-CN"/>
              </w:rPr>
            </w:pPr>
            <w:r w:rsidRPr="00F20686">
              <w:rPr>
                <w:rFonts w:eastAsia="微软雅黑" w:hint="eastAsia"/>
                <w:szCs w:val="18"/>
                <w:lang w:eastAsia="zh-CN"/>
              </w:rPr>
              <w:t>Electrostatic Friction Test Equipmen</w:t>
            </w:r>
            <w:r w:rsidR="00625FE1">
              <w:rPr>
                <w:rFonts w:eastAsia="微软雅黑"/>
                <w:szCs w:val="18"/>
                <w:lang w:eastAsia="zh-CN"/>
              </w:rPr>
              <w:t>t</w:t>
            </w:r>
          </w:p>
        </w:tc>
      </w:tr>
      <w:tr w:rsidR="007C2AF7" w:rsidRPr="005B4E52" w14:paraId="5A926469" w14:textId="77777777" w:rsidTr="00F20686">
        <w:tc>
          <w:tcPr>
            <w:tcW w:w="1701" w:type="dxa"/>
            <w:tcBorders>
              <w:left w:val="nil"/>
            </w:tcBorders>
            <w:shd w:val="clear" w:color="auto" w:fill="auto"/>
            <w:vAlign w:val="center"/>
          </w:tcPr>
          <w:p w14:paraId="7F1E5F6A" w14:textId="3884B851" w:rsidR="007C2AF7" w:rsidRPr="007C2AF7" w:rsidRDefault="007C2AF7" w:rsidP="007442F5">
            <w:pPr>
              <w:rPr>
                <w:rFonts w:eastAsia="微软雅黑"/>
                <w:szCs w:val="18"/>
                <w:lang w:eastAsia="zh-CN"/>
              </w:rPr>
            </w:pPr>
            <w:r w:rsidRPr="007C2AF7">
              <w:rPr>
                <w:rFonts w:eastAsia="微软雅黑" w:hint="eastAsia"/>
                <w:szCs w:val="18"/>
                <w:lang w:eastAsia="zh-CN"/>
              </w:rPr>
              <w:t>Indenter Parameters</w:t>
            </w:r>
          </w:p>
        </w:tc>
        <w:tc>
          <w:tcPr>
            <w:tcW w:w="3094" w:type="dxa"/>
            <w:tcBorders>
              <w:right w:val="nil"/>
            </w:tcBorders>
            <w:shd w:val="clear" w:color="auto" w:fill="auto"/>
            <w:vAlign w:val="center"/>
          </w:tcPr>
          <w:p w14:paraId="4B3F6855" w14:textId="24D74A22" w:rsidR="007C2AF7" w:rsidRPr="005B4E52" w:rsidRDefault="007C2AF7" w:rsidP="007442F5">
            <w:pPr>
              <w:jc w:val="left"/>
              <w:rPr>
                <w:rFonts w:eastAsia="微软雅黑"/>
                <w:szCs w:val="18"/>
                <w:lang w:eastAsia="zh-CN"/>
              </w:rPr>
            </w:pPr>
            <w:r w:rsidRPr="005B4E52">
              <w:rPr>
                <w:rFonts w:eastAsia="微软雅黑" w:hint="eastAsia"/>
                <w:szCs w:val="18"/>
                <w:lang w:eastAsia="zh-CN"/>
              </w:rPr>
              <w:t>100g</w:t>
            </w:r>
            <w:r w:rsidR="003E50CE">
              <w:rPr>
                <w:rFonts w:eastAsia="微软雅黑"/>
                <w:szCs w:val="18"/>
                <w:lang w:eastAsia="zh-CN"/>
              </w:rPr>
              <w:t xml:space="preserve">, </w:t>
            </w:r>
            <w:r w:rsidRPr="005B4E52">
              <w:rPr>
                <w:rFonts w:eastAsia="微软雅黑" w:hint="eastAsia"/>
                <w:szCs w:val="18"/>
                <w:lang w:eastAsia="zh-CN"/>
              </w:rPr>
              <w:t>100mm/s</w:t>
            </w:r>
          </w:p>
        </w:tc>
      </w:tr>
      <w:tr w:rsidR="007C2AF7" w:rsidRPr="005B4E52" w14:paraId="2158A49B" w14:textId="77777777" w:rsidTr="00F20686">
        <w:tc>
          <w:tcPr>
            <w:tcW w:w="1701" w:type="dxa"/>
            <w:tcBorders>
              <w:left w:val="nil"/>
            </w:tcBorders>
            <w:shd w:val="clear" w:color="auto" w:fill="auto"/>
            <w:vAlign w:val="center"/>
          </w:tcPr>
          <w:p w14:paraId="3D2300B0" w14:textId="32ECA09B" w:rsidR="007C2AF7" w:rsidRPr="007C2AF7" w:rsidRDefault="007C2AF7" w:rsidP="007442F5">
            <w:pPr>
              <w:rPr>
                <w:rFonts w:eastAsia="微软雅黑"/>
                <w:szCs w:val="18"/>
                <w:lang w:eastAsia="zh-CN"/>
              </w:rPr>
            </w:pPr>
            <w:r w:rsidRPr="007C2AF7">
              <w:rPr>
                <w:rFonts w:eastAsia="微软雅黑" w:hint="eastAsia"/>
                <w:szCs w:val="18"/>
                <w:lang w:eastAsia="zh-CN"/>
              </w:rPr>
              <w:t>Test Specimens</w:t>
            </w:r>
          </w:p>
        </w:tc>
        <w:tc>
          <w:tcPr>
            <w:tcW w:w="3094" w:type="dxa"/>
            <w:tcBorders>
              <w:right w:val="nil"/>
            </w:tcBorders>
            <w:shd w:val="clear" w:color="auto" w:fill="auto"/>
            <w:vAlign w:val="center"/>
          </w:tcPr>
          <w:p w14:paraId="02DE3309" w14:textId="6BA5A899" w:rsidR="007C2AF7" w:rsidRPr="005B4E52" w:rsidRDefault="007C2AF7" w:rsidP="007442F5">
            <w:pPr>
              <w:jc w:val="left"/>
              <w:rPr>
                <w:rFonts w:eastAsia="微软雅黑"/>
                <w:szCs w:val="18"/>
                <w:lang w:eastAsia="zh-CN"/>
              </w:rPr>
            </w:pPr>
            <w:r w:rsidRPr="005B4E52">
              <w:rPr>
                <w:rFonts w:eastAsia="微软雅黑" w:hint="eastAsia"/>
                <w:szCs w:val="18"/>
                <w:lang w:eastAsia="zh-CN"/>
              </w:rPr>
              <w:t>A</w:t>
            </w:r>
            <w:r w:rsidRPr="005B4E52">
              <w:rPr>
                <w:rFonts w:eastAsia="微软雅黑"/>
                <w:szCs w:val="18"/>
                <w:lang w:eastAsia="zh-CN"/>
              </w:rPr>
              <w:t>OMOLED</w:t>
            </w:r>
            <w:r w:rsidR="004F5648">
              <w:rPr>
                <w:rFonts w:eastAsia="微软雅黑" w:hint="eastAsia"/>
                <w:szCs w:val="18"/>
                <w:lang w:eastAsia="zh-CN"/>
              </w:rPr>
              <w:t xml:space="preserve"> </w:t>
            </w:r>
            <w:r w:rsidR="00625FE1">
              <w:rPr>
                <w:rFonts w:eastAsia="微软雅黑"/>
                <w:szCs w:val="18"/>
                <w:lang w:eastAsia="zh-CN"/>
              </w:rPr>
              <w:t>Mo</w:t>
            </w:r>
            <w:r w:rsidR="00075E74">
              <w:rPr>
                <w:rFonts w:eastAsia="微软雅黑"/>
                <w:szCs w:val="18"/>
                <w:lang w:eastAsia="zh-CN"/>
              </w:rPr>
              <w:t>dule</w:t>
            </w:r>
          </w:p>
        </w:tc>
      </w:tr>
      <w:tr w:rsidR="007C2AF7" w:rsidRPr="005B4E52" w14:paraId="54474C40" w14:textId="77777777" w:rsidTr="00F20686">
        <w:tc>
          <w:tcPr>
            <w:tcW w:w="1701" w:type="dxa"/>
            <w:tcBorders>
              <w:left w:val="nil"/>
            </w:tcBorders>
            <w:shd w:val="clear" w:color="auto" w:fill="auto"/>
            <w:vAlign w:val="center"/>
          </w:tcPr>
          <w:p w14:paraId="60AF9AF6" w14:textId="12D96773" w:rsidR="007C2AF7" w:rsidRPr="007C2AF7" w:rsidRDefault="007C2AF7" w:rsidP="007442F5">
            <w:pPr>
              <w:rPr>
                <w:rFonts w:eastAsia="微软雅黑"/>
                <w:szCs w:val="18"/>
                <w:lang w:eastAsia="zh-CN"/>
              </w:rPr>
            </w:pPr>
            <w:r w:rsidRPr="007C2AF7">
              <w:rPr>
                <w:rFonts w:eastAsia="微软雅黑" w:hint="eastAsia"/>
                <w:szCs w:val="18"/>
                <w:lang w:eastAsia="zh-CN"/>
              </w:rPr>
              <w:t>Test Pattern</w:t>
            </w:r>
          </w:p>
        </w:tc>
        <w:tc>
          <w:tcPr>
            <w:tcW w:w="3094" w:type="dxa"/>
            <w:tcBorders>
              <w:right w:val="nil"/>
            </w:tcBorders>
            <w:shd w:val="clear" w:color="auto" w:fill="auto"/>
            <w:vAlign w:val="center"/>
          </w:tcPr>
          <w:p w14:paraId="4BD8B93E" w14:textId="35498BC4" w:rsidR="007C2AF7" w:rsidRPr="005B4E52" w:rsidRDefault="007C2AF7" w:rsidP="007442F5">
            <w:pPr>
              <w:jc w:val="left"/>
              <w:rPr>
                <w:rFonts w:eastAsia="微软雅黑"/>
                <w:szCs w:val="18"/>
                <w:lang w:eastAsia="zh-CN"/>
              </w:rPr>
            </w:pPr>
            <w:r w:rsidRPr="005B4E52">
              <w:rPr>
                <w:rFonts w:eastAsia="微软雅黑" w:hint="eastAsia"/>
                <w:szCs w:val="18"/>
                <w:lang w:eastAsia="zh-CN"/>
              </w:rPr>
              <w:t>255gray 100%</w:t>
            </w:r>
            <w:r w:rsidR="00F20686">
              <w:rPr>
                <w:rFonts w:eastAsia="微软雅黑" w:hint="eastAsia"/>
                <w:szCs w:val="18"/>
                <w:lang w:eastAsia="zh-CN"/>
              </w:rPr>
              <w:t xml:space="preserve"> lum</w:t>
            </w:r>
            <w:r w:rsidR="00F20686">
              <w:rPr>
                <w:rFonts w:eastAsia="微软雅黑"/>
                <w:szCs w:val="18"/>
                <w:lang w:eastAsia="zh-CN"/>
              </w:rPr>
              <w:t>i</w:t>
            </w:r>
            <w:r w:rsidR="00F20686">
              <w:rPr>
                <w:rFonts w:eastAsia="微软雅黑" w:hint="eastAsia"/>
                <w:szCs w:val="18"/>
                <w:lang w:eastAsia="zh-CN"/>
              </w:rPr>
              <w:t>nance</w:t>
            </w:r>
          </w:p>
        </w:tc>
      </w:tr>
      <w:tr w:rsidR="007C2AF7" w:rsidRPr="005B4E52" w14:paraId="7BDECEEE" w14:textId="77777777" w:rsidTr="00F20686">
        <w:tc>
          <w:tcPr>
            <w:tcW w:w="1701" w:type="dxa"/>
            <w:tcBorders>
              <w:left w:val="nil"/>
            </w:tcBorders>
            <w:shd w:val="clear" w:color="auto" w:fill="auto"/>
            <w:vAlign w:val="center"/>
          </w:tcPr>
          <w:p w14:paraId="4E450D17" w14:textId="4ABF83C3" w:rsidR="007C2AF7" w:rsidRPr="007C2AF7" w:rsidRDefault="007C2AF7" w:rsidP="007442F5">
            <w:pPr>
              <w:rPr>
                <w:rFonts w:eastAsia="微软雅黑"/>
                <w:szCs w:val="18"/>
                <w:lang w:eastAsia="zh-CN"/>
              </w:rPr>
            </w:pPr>
            <w:r w:rsidRPr="007C2AF7">
              <w:rPr>
                <w:rFonts w:eastAsia="微软雅黑" w:hint="eastAsia"/>
                <w:szCs w:val="18"/>
                <w:lang w:eastAsia="zh-CN"/>
              </w:rPr>
              <w:t>Sample Size</w:t>
            </w:r>
          </w:p>
        </w:tc>
        <w:tc>
          <w:tcPr>
            <w:tcW w:w="3094" w:type="dxa"/>
            <w:tcBorders>
              <w:right w:val="nil"/>
            </w:tcBorders>
            <w:shd w:val="clear" w:color="auto" w:fill="auto"/>
            <w:vAlign w:val="center"/>
          </w:tcPr>
          <w:p w14:paraId="4A13FD07" w14:textId="77777777" w:rsidR="007C2AF7" w:rsidRPr="005B4E52" w:rsidRDefault="007C2AF7" w:rsidP="007442F5">
            <w:pPr>
              <w:jc w:val="left"/>
              <w:rPr>
                <w:rFonts w:eastAsia="微软雅黑"/>
                <w:szCs w:val="18"/>
                <w:lang w:eastAsia="zh-CN"/>
              </w:rPr>
            </w:pPr>
            <w:r w:rsidRPr="005B4E52">
              <w:rPr>
                <w:rFonts w:eastAsia="微软雅黑"/>
                <w:szCs w:val="18"/>
                <w:lang w:eastAsia="zh-CN"/>
              </w:rPr>
              <w:t>10</w:t>
            </w:r>
            <w:r w:rsidRPr="005B4E52">
              <w:rPr>
                <w:rFonts w:eastAsia="微软雅黑" w:hint="eastAsia"/>
                <w:szCs w:val="18"/>
                <w:lang w:eastAsia="zh-CN"/>
              </w:rPr>
              <w:t>pcs</w:t>
            </w:r>
          </w:p>
        </w:tc>
      </w:tr>
      <w:tr w:rsidR="007C2AF7" w:rsidRPr="005B4E52" w14:paraId="4587F74C" w14:textId="77777777" w:rsidTr="00133BEE">
        <w:trPr>
          <w:trHeight w:val="268"/>
        </w:trPr>
        <w:tc>
          <w:tcPr>
            <w:tcW w:w="1701" w:type="dxa"/>
            <w:tcBorders>
              <w:left w:val="nil"/>
            </w:tcBorders>
            <w:shd w:val="clear" w:color="auto" w:fill="auto"/>
            <w:vAlign w:val="center"/>
          </w:tcPr>
          <w:p w14:paraId="2DB5750D" w14:textId="6CAFCCF9" w:rsidR="007C2AF7" w:rsidRPr="007C2AF7" w:rsidRDefault="007C2AF7" w:rsidP="007442F5">
            <w:pPr>
              <w:rPr>
                <w:rFonts w:eastAsia="微软雅黑"/>
                <w:szCs w:val="18"/>
                <w:lang w:eastAsia="zh-CN"/>
              </w:rPr>
            </w:pPr>
            <w:r w:rsidRPr="007C2AF7">
              <w:rPr>
                <w:rFonts w:eastAsia="微软雅黑" w:hint="eastAsia"/>
                <w:szCs w:val="18"/>
                <w:lang w:eastAsia="zh-CN"/>
              </w:rPr>
              <w:t>Test Duration</w:t>
            </w:r>
          </w:p>
        </w:tc>
        <w:tc>
          <w:tcPr>
            <w:tcW w:w="3094" w:type="dxa"/>
            <w:tcBorders>
              <w:right w:val="nil"/>
            </w:tcBorders>
            <w:shd w:val="clear" w:color="auto" w:fill="auto"/>
            <w:vAlign w:val="center"/>
          </w:tcPr>
          <w:p w14:paraId="25583F7A" w14:textId="780D4025" w:rsidR="007C2AF7" w:rsidRPr="005B4E52" w:rsidRDefault="007C2AF7" w:rsidP="007442F5">
            <w:pPr>
              <w:jc w:val="left"/>
              <w:rPr>
                <w:rFonts w:eastAsia="微软雅黑"/>
                <w:szCs w:val="18"/>
                <w:lang w:eastAsia="zh-CN"/>
              </w:rPr>
            </w:pPr>
            <w:r w:rsidRPr="005B4E52">
              <w:rPr>
                <w:rFonts w:eastAsia="微软雅黑" w:hint="eastAsia"/>
                <w:szCs w:val="18"/>
                <w:lang w:eastAsia="zh-CN"/>
              </w:rPr>
              <w:t>8</w:t>
            </w:r>
            <w:r w:rsidRPr="005B4E52">
              <w:rPr>
                <w:rFonts w:eastAsia="微软雅黑"/>
                <w:szCs w:val="18"/>
                <w:lang w:eastAsia="zh-CN"/>
              </w:rPr>
              <w:t>H</w:t>
            </w:r>
            <w:r w:rsidR="00A9476D">
              <w:rPr>
                <w:rFonts w:eastAsia="微软雅黑"/>
                <w:szCs w:val="18"/>
                <w:lang w:eastAsia="zh-CN"/>
              </w:rPr>
              <w:t xml:space="preserve">, </w:t>
            </w:r>
            <w:r w:rsidRPr="005B4E52">
              <w:rPr>
                <w:rFonts w:eastAsia="微软雅黑"/>
                <w:szCs w:val="18"/>
                <w:lang w:eastAsia="zh-CN"/>
              </w:rPr>
              <w:t>24H</w:t>
            </w:r>
          </w:p>
        </w:tc>
      </w:tr>
    </w:tbl>
    <w:p w14:paraId="6E11AB03" w14:textId="4C6A4343" w:rsidR="007C2AF7" w:rsidRDefault="00D8314F" w:rsidP="006365A1">
      <w:pPr>
        <w:rPr>
          <w:rFonts w:eastAsia="微软雅黑"/>
          <w:szCs w:val="18"/>
          <w:lang w:eastAsia="zh-CN"/>
        </w:rPr>
      </w:pPr>
      <w:r w:rsidRPr="00D8314F">
        <w:rPr>
          <w:rFonts w:eastAsia="微软雅黑" w:hint="eastAsia"/>
          <w:szCs w:val="18"/>
          <w:lang w:eastAsia="zh-CN"/>
        </w:rPr>
        <w:t>The conductive nanofiber tip continuously rubs against the CG surface. A schematic diagram of the frictio</w:t>
      </w:r>
      <w:r w:rsidR="00D263C3">
        <w:rPr>
          <w:rFonts w:eastAsia="微软雅黑" w:hint="eastAsia"/>
          <w:szCs w:val="18"/>
          <w:lang w:eastAsia="zh-CN"/>
        </w:rPr>
        <w:t>n process is shown in Figure</w:t>
      </w:r>
      <w:r w:rsidR="00D263C3">
        <w:rPr>
          <w:rFonts w:eastAsia="微软雅黑"/>
          <w:szCs w:val="18"/>
          <w:lang w:eastAsia="zh-CN"/>
        </w:rPr>
        <w:t xml:space="preserve"> </w:t>
      </w:r>
      <w:r w:rsidR="00D263C3">
        <w:rPr>
          <w:rFonts w:eastAsia="微软雅黑" w:hint="eastAsia"/>
          <w:szCs w:val="18"/>
          <w:lang w:eastAsia="zh-CN"/>
        </w:rPr>
        <w:t>1</w:t>
      </w:r>
      <w:r w:rsidR="00274C52">
        <w:rPr>
          <w:rFonts w:eastAsia="微软雅黑" w:hint="eastAsia"/>
          <w:szCs w:val="18"/>
          <w:lang w:eastAsia="zh-CN"/>
        </w:rPr>
        <w:t>(</w:t>
      </w:r>
      <w:r w:rsidR="00274C52">
        <w:rPr>
          <w:rFonts w:eastAsia="微软雅黑"/>
          <w:szCs w:val="18"/>
          <w:lang w:eastAsia="zh-CN"/>
        </w:rPr>
        <w:t>a)</w:t>
      </w:r>
      <w:r w:rsidRPr="00D8314F">
        <w:rPr>
          <w:rFonts w:eastAsia="微软雅黑" w:hint="eastAsia"/>
          <w:szCs w:val="18"/>
          <w:lang w:eastAsia="zh-CN"/>
        </w:rPr>
        <w:t>, and the corresponding friction motion traject</w:t>
      </w:r>
      <w:r w:rsidR="00D263C3">
        <w:rPr>
          <w:rFonts w:eastAsia="微软雅黑" w:hint="eastAsia"/>
          <w:szCs w:val="18"/>
          <w:lang w:eastAsia="zh-CN"/>
        </w:rPr>
        <w:t xml:space="preserve">ory is illustrated in Figure </w:t>
      </w:r>
      <w:r w:rsidR="00274C52">
        <w:rPr>
          <w:rFonts w:eastAsia="微软雅黑"/>
          <w:szCs w:val="18"/>
          <w:lang w:eastAsia="zh-CN"/>
        </w:rPr>
        <w:t>1(b</w:t>
      </w:r>
      <w:r w:rsidR="00274C52">
        <w:rPr>
          <w:rFonts w:eastAsia="微软雅黑" w:hint="eastAsia"/>
          <w:szCs w:val="18"/>
          <w:lang w:eastAsia="zh-CN"/>
        </w:rPr>
        <w:t>)</w:t>
      </w:r>
      <w:r w:rsidRPr="00D8314F">
        <w:rPr>
          <w:rFonts w:eastAsia="微软雅黑" w:hint="eastAsia"/>
          <w:szCs w:val="18"/>
          <w:lang w:eastAsia="zh-CN"/>
        </w:rPr>
        <w:t>. The motion path is inset 15 mm from the Active Area (AA) boundary</w:t>
      </w:r>
      <w:r>
        <w:rPr>
          <w:rFonts w:eastAsia="微软雅黑" w:hint="eastAsia"/>
          <w:szCs w:val="18"/>
          <w:lang w:eastAsia="zh-CN"/>
        </w:rPr>
        <w:t>.</w:t>
      </w:r>
    </w:p>
    <w:p w14:paraId="7C5817AE" w14:textId="3B644901" w:rsidR="000A2B4E" w:rsidRDefault="00042B83" w:rsidP="006365A1">
      <w:pPr>
        <w:rPr>
          <w:noProof/>
          <w:lang w:eastAsia="zh-CN"/>
        </w:rPr>
      </w:pPr>
      <w:r>
        <w:rPr>
          <w:noProof/>
          <w:lang w:eastAsia="zh-CN"/>
        </w:rPr>
        <w:drawing>
          <wp:inline distT="0" distB="0" distL="0" distR="0" wp14:anchorId="74C3BFA3" wp14:editId="4112A3F8">
            <wp:extent cx="1513758" cy="124358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0882" cy="1257652"/>
                    </a:xfrm>
                    <a:prstGeom prst="rect">
                      <a:avLst/>
                    </a:prstGeom>
                    <a:noFill/>
                  </pic:spPr>
                </pic:pic>
              </a:graphicData>
            </a:graphic>
          </wp:inline>
        </w:drawing>
      </w:r>
      <w:r w:rsidR="00CA6B82">
        <w:rPr>
          <w:noProof/>
          <w:lang w:eastAsia="zh-CN"/>
        </w:rPr>
        <w:t xml:space="preserve">       </w:t>
      </w:r>
      <w:r w:rsidR="000A2B4E">
        <w:rPr>
          <w:noProof/>
          <w:lang w:eastAsia="zh-CN"/>
        </w:rPr>
        <w:drawing>
          <wp:inline distT="0" distB="0" distL="0" distR="0" wp14:anchorId="0184E7D9" wp14:editId="62BF3164">
            <wp:extent cx="1057275" cy="14071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7275" cy="1407160"/>
                    </a:xfrm>
                    <a:prstGeom prst="rect">
                      <a:avLst/>
                    </a:prstGeom>
                    <a:noFill/>
                    <a:ln>
                      <a:noFill/>
                    </a:ln>
                  </pic:spPr>
                </pic:pic>
              </a:graphicData>
            </a:graphic>
          </wp:inline>
        </w:drawing>
      </w:r>
    </w:p>
    <w:p w14:paraId="38EB86DA" w14:textId="3894457A" w:rsidR="00BF2763" w:rsidRDefault="00BF2763" w:rsidP="006365A1">
      <w:pPr>
        <w:rPr>
          <w:rFonts w:eastAsia="微软雅黑"/>
          <w:szCs w:val="18"/>
          <w:lang w:eastAsia="zh-CN"/>
        </w:rPr>
      </w:pPr>
      <w:r w:rsidRPr="00BF2763">
        <w:rPr>
          <w:rFonts w:eastAsia="微软雅黑" w:hint="eastAsia"/>
          <w:szCs w:val="18"/>
          <w:lang w:eastAsia="zh-CN"/>
        </w:rPr>
        <w:t>(a) Friction setup schematic</w:t>
      </w:r>
      <w:r>
        <w:rPr>
          <w:rFonts w:eastAsia="微软雅黑"/>
          <w:szCs w:val="18"/>
          <w:lang w:eastAsia="zh-CN"/>
        </w:rPr>
        <w:t xml:space="preserve">          </w:t>
      </w:r>
      <w:r w:rsidRPr="00BF2763">
        <w:rPr>
          <w:rFonts w:eastAsia="微软雅黑" w:hint="eastAsia"/>
          <w:szCs w:val="18"/>
          <w:lang w:eastAsia="zh-CN"/>
        </w:rPr>
        <w:t>(b) Resulting motion path</w:t>
      </w:r>
    </w:p>
    <w:p w14:paraId="287FB894" w14:textId="77777777" w:rsidR="00BF2763" w:rsidRDefault="00BF2763" w:rsidP="00BF2763">
      <w:pPr>
        <w:jc w:val="center"/>
        <w:rPr>
          <w:rFonts w:ascii="Arial" w:eastAsia="微软雅黑" w:hAnsi="Arial" w:cs="Arial"/>
          <w:szCs w:val="18"/>
          <w:lang w:eastAsia="zh-CN"/>
        </w:rPr>
      </w:pPr>
      <w:r w:rsidRPr="00BF2763">
        <w:rPr>
          <w:rFonts w:ascii="Arial" w:eastAsia="微软雅黑" w:hAnsi="Arial" w:cs="Arial"/>
          <w:b/>
          <w:szCs w:val="18"/>
          <w:lang w:eastAsia="zh-CN"/>
        </w:rPr>
        <w:t>Figure 1.</w:t>
      </w:r>
      <w:r w:rsidRPr="00BF2763">
        <w:rPr>
          <w:rFonts w:ascii="Arial" w:eastAsia="微软雅黑" w:hAnsi="Arial" w:cs="Arial"/>
          <w:szCs w:val="18"/>
          <w:lang w:eastAsia="zh-CN"/>
        </w:rPr>
        <w:t xml:space="preserve"> Electrostatic friction mechanism and resultant trajectory</w:t>
      </w:r>
    </w:p>
    <w:p w14:paraId="715CA9B2" w14:textId="77777777" w:rsidR="00FF0500" w:rsidRPr="00BF2763" w:rsidRDefault="00FF0500" w:rsidP="00BF2763">
      <w:pPr>
        <w:jc w:val="center"/>
        <w:rPr>
          <w:rFonts w:ascii="Arial" w:eastAsia="微软雅黑" w:hAnsi="Arial" w:cs="Arial"/>
          <w:szCs w:val="18"/>
          <w:lang w:eastAsia="zh-CN"/>
        </w:rPr>
      </w:pPr>
    </w:p>
    <w:p w14:paraId="274E56B9" w14:textId="2A235A77" w:rsidR="00952D33" w:rsidRDefault="00952D33" w:rsidP="00CA6B82">
      <w:pPr>
        <w:jc w:val="left"/>
        <w:rPr>
          <w:rFonts w:eastAsia="微软雅黑"/>
          <w:szCs w:val="18"/>
          <w:lang w:eastAsia="zh-CN"/>
        </w:rPr>
      </w:pPr>
      <w:r w:rsidRPr="00952D33">
        <w:rPr>
          <w:rFonts w:eastAsia="微软雅黑" w:hint="eastAsia"/>
          <w:szCs w:val="18"/>
          <w:lang w:eastAsia="zh-CN"/>
        </w:rPr>
        <w:t>For early unimproved modules displaying the L255 pattern, the initial state observed befo</w:t>
      </w:r>
      <w:r w:rsidR="00051A9B">
        <w:rPr>
          <w:rFonts w:eastAsia="微软雅黑" w:hint="eastAsia"/>
          <w:szCs w:val="18"/>
          <w:lang w:eastAsia="zh-CN"/>
        </w:rPr>
        <w:t xml:space="preserve">re testing is shown in Figure </w:t>
      </w:r>
      <w:r w:rsidR="00083BE6">
        <w:rPr>
          <w:rFonts w:eastAsia="微软雅黑" w:hint="eastAsia"/>
          <w:szCs w:val="18"/>
          <w:lang w:eastAsia="zh-CN"/>
        </w:rPr>
        <w:t>2</w:t>
      </w:r>
      <w:r w:rsidRPr="00952D33">
        <w:rPr>
          <w:rFonts w:eastAsia="微软雅黑" w:hint="eastAsia"/>
          <w:szCs w:val="18"/>
          <w:lang w:eastAsia="zh-CN"/>
        </w:rPr>
        <w:t>. After exposure to the electrostatic field test, various display anomalies emerged at low brightness and low grayscale levels, including edge brightening with a greenish tint, progressive overall greenish display, localized bright spots, and green flic</w:t>
      </w:r>
      <w:r w:rsidR="00051A9B">
        <w:rPr>
          <w:rFonts w:eastAsia="微软雅黑" w:hint="eastAsia"/>
          <w:szCs w:val="18"/>
          <w:lang w:eastAsia="zh-CN"/>
        </w:rPr>
        <w:t xml:space="preserve">kering, as depicted in Figure </w:t>
      </w:r>
      <w:r w:rsidR="00D57C4E">
        <w:rPr>
          <w:rFonts w:eastAsia="微软雅黑"/>
          <w:szCs w:val="18"/>
          <w:lang w:eastAsia="zh-CN"/>
        </w:rPr>
        <w:t>2</w:t>
      </w:r>
      <w:r w:rsidRPr="00952D33">
        <w:rPr>
          <w:rFonts w:eastAsia="微软雅黑" w:hint="eastAsia"/>
          <w:szCs w:val="18"/>
          <w:lang w:eastAsia="zh-CN"/>
        </w:rPr>
        <w:t>.</w:t>
      </w:r>
    </w:p>
    <w:p w14:paraId="36A63DE1" w14:textId="05136B7B" w:rsidR="00952D33" w:rsidRDefault="00952D33" w:rsidP="00B84215">
      <w:pPr>
        <w:ind w:firstLineChars="350" w:firstLine="630"/>
        <w:jc w:val="left"/>
        <w:rPr>
          <w:noProof/>
          <w:color w:val="000000"/>
          <w:lang w:eastAsia="zh-CN"/>
        </w:rPr>
      </w:pPr>
      <w:r>
        <w:rPr>
          <w:noProof/>
          <w:color w:val="000000"/>
          <w:lang w:eastAsia="zh-CN"/>
        </w:rPr>
        <w:lastRenderedPageBreak/>
        <w:drawing>
          <wp:inline distT="0" distB="0" distL="0" distR="0" wp14:anchorId="076B27B6" wp14:editId="34DF317B">
            <wp:extent cx="675640" cy="9544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5640" cy="954405"/>
                    </a:xfrm>
                    <a:prstGeom prst="rect">
                      <a:avLst/>
                    </a:prstGeom>
                    <a:noFill/>
                    <a:ln>
                      <a:noFill/>
                    </a:ln>
                  </pic:spPr>
                </pic:pic>
              </a:graphicData>
            </a:graphic>
          </wp:inline>
        </w:drawing>
      </w:r>
      <w:r>
        <w:rPr>
          <w:rFonts w:eastAsia="微软雅黑" w:hint="eastAsia"/>
          <w:szCs w:val="18"/>
          <w:lang w:eastAsia="zh-CN"/>
        </w:rPr>
        <w:t xml:space="preserve"> </w:t>
      </w:r>
      <w:r w:rsidR="00B84215">
        <w:rPr>
          <w:noProof/>
          <w:color w:val="000000"/>
          <w:lang w:eastAsia="zh-CN"/>
        </w:rPr>
        <w:t xml:space="preserve">                     </w:t>
      </w:r>
      <w:r>
        <w:rPr>
          <w:noProof/>
          <w:color w:val="000000"/>
          <w:lang w:eastAsia="zh-CN"/>
        </w:rPr>
        <w:t xml:space="preserve">     </w:t>
      </w:r>
      <w:r>
        <w:rPr>
          <w:noProof/>
          <w:color w:val="000000"/>
          <w:lang w:eastAsia="zh-CN"/>
        </w:rPr>
        <w:drawing>
          <wp:inline distT="0" distB="0" distL="0" distR="0" wp14:anchorId="7FD2F036" wp14:editId="5A563888">
            <wp:extent cx="659765" cy="954405"/>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9765" cy="954405"/>
                    </a:xfrm>
                    <a:prstGeom prst="rect">
                      <a:avLst/>
                    </a:prstGeom>
                    <a:noFill/>
                    <a:ln>
                      <a:noFill/>
                    </a:ln>
                  </pic:spPr>
                </pic:pic>
              </a:graphicData>
            </a:graphic>
          </wp:inline>
        </w:drawing>
      </w:r>
    </w:p>
    <w:p w14:paraId="38C3AF6B" w14:textId="58F3D00D" w:rsidR="00952D33" w:rsidRPr="00083BE6" w:rsidRDefault="00083BE6" w:rsidP="00102121">
      <w:pPr>
        <w:ind w:firstLineChars="200" w:firstLine="360"/>
        <w:jc w:val="left"/>
        <w:rPr>
          <w:rFonts w:eastAsia="微软雅黑"/>
          <w:szCs w:val="18"/>
          <w:lang w:eastAsia="zh-CN"/>
        </w:rPr>
      </w:pPr>
      <w:r w:rsidRPr="00083BE6">
        <w:rPr>
          <w:rFonts w:eastAsia="微软雅黑"/>
          <w:szCs w:val="18"/>
          <w:lang w:eastAsia="zh-CN"/>
        </w:rPr>
        <w:t>(a)</w:t>
      </w:r>
      <w:r w:rsidR="008F350A">
        <w:rPr>
          <w:rFonts w:eastAsia="微软雅黑"/>
          <w:szCs w:val="18"/>
          <w:lang w:eastAsia="zh-CN"/>
        </w:rPr>
        <w:t>Pre-test c</w:t>
      </w:r>
      <w:r w:rsidR="00952D33" w:rsidRPr="00083BE6">
        <w:rPr>
          <w:rFonts w:eastAsia="微软雅黑"/>
          <w:szCs w:val="18"/>
          <w:lang w:eastAsia="zh-CN"/>
        </w:rPr>
        <w:t xml:space="preserve">ondition      </w:t>
      </w:r>
      <w:r>
        <w:rPr>
          <w:rFonts w:eastAsia="微软雅黑"/>
          <w:szCs w:val="18"/>
          <w:lang w:eastAsia="zh-CN"/>
        </w:rPr>
        <w:t xml:space="preserve">    </w:t>
      </w:r>
      <w:r w:rsidRPr="00083BE6">
        <w:rPr>
          <w:rFonts w:eastAsia="微软雅黑"/>
          <w:szCs w:val="18"/>
          <w:lang w:eastAsia="zh-CN"/>
        </w:rPr>
        <w:t xml:space="preserve"> </w:t>
      </w:r>
      <w:r w:rsidRPr="00083BE6">
        <w:rPr>
          <w:rFonts w:eastAsia="微软雅黑"/>
          <w:color w:val="000000" w:themeColor="text1"/>
          <w:szCs w:val="18"/>
          <w:lang w:eastAsia="zh-CN"/>
        </w:rPr>
        <w:t>(b)</w:t>
      </w:r>
      <w:r w:rsidR="00952D33" w:rsidRPr="00083BE6">
        <w:rPr>
          <w:rFonts w:eastAsia="微软雅黑"/>
          <w:szCs w:val="18"/>
          <w:lang w:eastAsia="zh-CN"/>
        </w:rPr>
        <w:t xml:space="preserve"> </w:t>
      </w:r>
      <w:r w:rsidR="008F350A">
        <w:rPr>
          <w:rFonts w:eastAsia="微软雅黑"/>
          <w:szCs w:val="18"/>
          <w:lang w:eastAsia="zh-CN"/>
        </w:rPr>
        <w:t>Observed defects after t</w:t>
      </w:r>
      <w:r w:rsidR="00952D33" w:rsidRPr="00083BE6">
        <w:rPr>
          <w:rFonts w:eastAsia="微软雅黑"/>
          <w:szCs w:val="18"/>
          <w:lang w:eastAsia="zh-CN"/>
        </w:rPr>
        <w:t>esting</w:t>
      </w:r>
    </w:p>
    <w:p w14:paraId="26D3BA57" w14:textId="17852A91" w:rsidR="00FF0500" w:rsidRPr="00083BE6" w:rsidRDefault="00083BE6" w:rsidP="00263181">
      <w:pPr>
        <w:jc w:val="center"/>
        <w:rPr>
          <w:rFonts w:ascii="Arial" w:eastAsia="微软雅黑" w:hAnsi="Arial" w:cs="Arial"/>
          <w:szCs w:val="18"/>
          <w:lang w:eastAsia="zh-CN"/>
        </w:rPr>
      </w:pPr>
      <w:r w:rsidRPr="00083BE6">
        <w:rPr>
          <w:rFonts w:ascii="Arial" w:eastAsia="微软雅黑" w:hAnsi="Arial" w:cs="Arial"/>
          <w:b/>
          <w:szCs w:val="18"/>
          <w:lang w:eastAsia="zh-CN"/>
        </w:rPr>
        <w:t>Figure 2.</w:t>
      </w:r>
      <w:r w:rsidRPr="00083BE6">
        <w:rPr>
          <w:rFonts w:eastAsia="微软雅黑" w:hint="eastAsia"/>
          <w:szCs w:val="18"/>
          <w:lang w:eastAsia="zh-CN"/>
        </w:rPr>
        <w:t xml:space="preserve"> </w:t>
      </w:r>
      <w:r w:rsidRPr="00083BE6">
        <w:rPr>
          <w:rFonts w:ascii="Arial" w:eastAsia="微软雅黑" w:hAnsi="Arial" w:cs="Arial"/>
          <w:szCs w:val="18"/>
          <w:lang w:eastAsia="zh-CN"/>
        </w:rPr>
        <w:t>Electrostatic friction mechanism and resultant trajectory</w:t>
      </w:r>
    </w:p>
    <w:p w14:paraId="3CAED981" w14:textId="77777777" w:rsidR="00083BE6" w:rsidRPr="00083BE6" w:rsidRDefault="00083BE6" w:rsidP="00952D33">
      <w:pPr>
        <w:jc w:val="left"/>
        <w:rPr>
          <w:rFonts w:ascii="Arial" w:eastAsia="微软雅黑" w:hAnsi="Arial" w:cs="Arial"/>
          <w:szCs w:val="18"/>
          <w:lang w:eastAsia="zh-CN"/>
        </w:rPr>
      </w:pPr>
    </w:p>
    <w:p w14:paraId="08A45FDA" w14:textId="5DEF0696" w:rsidR="00576D49" w:rsidRDefault="00B12C4A" w:rsidP="00B12C4A">
      <w:pPr>
        <w:rPr>
          <w:rFonts w:eastAsia="微软雅黑"/>
          <w:szCs w:val="18"/>
          <w:lang w:eastAsia="zh-CN"/>
        </w:rPr>
      </w:pPr>
      <w:r w:rsidRPr="00B12C4A">
        <w:rPr>
          <w:rFonts w:eastAsia="微软雅黑" w:hint="eastAsia"/>
          <w:szCs w:val="18"/>
          <w:lang w:eastAsia="zh-CN"/>
        </w:rPr>
        <w:t>Extensive testing revealed that while this experimental protocol closely replicates real-world user scenarios, it suffers from several drawbacks: extended testing duration, low frictional voltage (with the maximum peak frictional voltage absolute value &lt; 600 V), and a prolonged failure activation period (requiring up to 24 hours). To rapidly induce these defects and shorten the test cycle, it is necessary to develop a more efficient testing method. The core accelerating factor for this failure mechanism is the frictional electrostatic voltage. By focusing our research on this key influencing factor, we can enhance the acceleration efficiency and reduce the overall testing time. Based on this core factor, the overall test setup was desi</w:t>
      </w:r>
      <w:r w:rsidR="00471BFB">
        <w:rPr>
          <w:rFonts w:eastAsia="微软雅黑" w:hint="eastAsia"/>
          <w:szCs w:val="18"/>
          <w:lang w:eastAsia="zh-CN"/>
        </w:rPr>
        <w:t xml:space="preserve">gned as illustrated in Figure </w:t>
      </w:r>
      <w:r w:rsidR="00263181">
        <w:rPr>
          <w:rFonts w:eastAsia="微软雅黑" w:hint="eastAsia"/>
          <w:szCs w:val="18"/>
          <w:lang w:eastAsia="zh-CN"/>
        </w:rPr>
        <w:t>3</w:t>
      </w:r>
      <w:r w:rsidRPr="00B12C4A">
        <w:rPr>
          <w:rFonts w:eastAsia="微软雅黑" w:hint="eastAsia"/>
          <w:szCs w:val="18"/>
          <w:lang w:eastAsia="zh-CN"/>
        </w:rPr>
        <w:t>. The specific imp</w:t>
      </w:r>
      <w:r>
        <w:rPr>
          <w:rFonts w:eastAsia="微软雅黑" w:hint="eastAsia"/>
          <w:szCs w:val="18"/>
          <w:lang w:eastAsia="zh-CN"/>
        </w:rPr>
        <w:t>lementation is as follows:</w:t>
      </w:r>
    </w:p>
    <w:p w14:paraId="386310B4" w14:textId="038226D5" w:rsidR="00576D49" w:rsidRPr="00576D49"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A high-voltage DC excitation power supply capable of outputting 0 to -6 kV is required.</w:t>
      </w:r>
    </w:p>
    <w:p w14:paraId="39B648C5" w14:textId="750E4C23" w:rsidR="00576D49" w:rsidRPr="00576D49"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 xml:space="preserve">A display driving system is needed to simultaneously activate two OLED modules. </w:t>
      </w:r>
    </w:p>
    <w:p w14:paraId="5FF2862A" w14:textId="211BDE22" w:rsidR="00576D49" w:rsidRPr="00576D49"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 xml:space="preserve">Several pieces of conductive cloth and wires are utilized. </w:t>
      </w:r>
    </w:p>
    <w:p w14:paraId="295CE3E5" w14:textId="6584A07C" w:rsidR="00576D49" w:rsidRPr="00576D49"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 xml:space="preserve">The conductive cloth is attached to the cover glass (CG) surface of the module, inset by 15 mm from the active area (AA) boundary. Care must be taken to ensure the conductive cloth does not contact the ink edge of the CG to prevent short circuits between the positive and negative electrodes, which could cause electric shock. </w:t>
      </w:r>
    </w:p>
    <w:p w14:paraId="65996444" w14:textId="546161DE" w:rsidR="00576D49" w:rsidRPr="00576D49"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 xml:space="preserve">One wire connects the conductive cloth on the CG surface of both modules, and another wire connects the copper foil surface of both modules, establishing a parallel connection. </w:t>
      </w:r>
    </w:p>
    <w:p w14:paraId="54EA14BE" w14:textId="412A8542" w:rsidR="00B12C4A" w:rsidRDefault="00B12C4A" w:rsidP="00576D49">
      <w:pPr>
        <w:pStyle w:val="ab"/>
        <w:numPr>
          <w:ilvl w:val="0"/>
          <w:numId w:val="18"/>
        </w:numPr>
        <w:jc w:val="both"/>
        <w:rPr>
          <w:rFonts w:ascii="Times New Roman" w:eastAsia="微软雅黑" w:hAnsi="Times New Roman" w:cs="Times New Roman"/>
          <w:sz w:val="18"/>
          <w:szCs w:val="18"/>
          <w:lang w:eastAsia="zh-CN"/>
        </w:rPr>
      </w:pPr>
      <w:r w:rsidRPr="00576D49">
        <w:rPr>
          <w:rFonts w:ascii="Times New Roman" w:eastAsia="微软雅黑" w:hAnsi="Times New Roman" w:cs="Times New Roman"/>
          <w:sz w:val="18"/>
          <w:szCs w:val="18"/>
          <w:lang w:eastAsia="zh-CN"/>
        </w:rPr>
        <w:t>The negative terminal of the DC power supply is connected to the conductive cloth on the CG, and the positive terminal is connected to the copper foil surface of the module.</w:t>
      </w:r>
    </w:p>
    <w:p w14:paraId="44FD6349" w14:textId="1FF34785" w:rsidR="00B12C4A" w:rsidRDefault="00D639C6" w:rsidP="00B12C4A">
      <w:pPr>
        <w:rPr>
          <w:rFonts w:eastAsia="微软雅黑"/>
          <w:szCs w:val="18"/>
          <w:lang w:eastAsia="zh-CN"/>
        </w:rPr>
      </w:pPr>
      <w:r>
        <w:rPr>
          <w:rFonts w:eastAsia="微软雅黑"/>
          <w:noProof/>
          <w:szCs w:val="18"/>
          <w:lang w:eastAsia="zh-CN"/>
        </w:rPr>
        <w:drawing>
          <wp:inline distT="0" distB="0" distL="0" distR="0" wp14:anchorId="4DD1CC46" wp14:editId="4B3B3CE9">
            <wp:extent cx="3064893" cy="1741018"/>
            <wp:effectExtent l="0" t="0" r="254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5478" cy="1752711"/>
                    </a:xfrm>
                    <a:prstGeom prst="rect">
                      <a:avLst/>
                    </a:prstGeom>
                    <a:noFill/>
                  </pic:spPr>
                </pic:pic>
              </a:graphicData>
            </a:graphic>
          </wp:inline>
        </w:drawing>
      </w:r>
    </w:p>
    <w:p w14:paraId="6889C5D9" w14:textId="07EBBDBD" w:rsidR="00B12C4A" w:rsidRDefault="00471BFB" w:rsidP="00B12C4A">
      <w:pPr>
        <w:jc w:val="center"/>
        <w:rPr>
          <w:rFonts w:ascii="Arial" w:eastAsia="微软雅黑" w:hAnsi="Arial" w:cs="Arial"/>
          <w:szCs w:val="18"/>
          <w:lang w:eastAsia="zh-CN"/>
        </w:rPr>
      </w:pPr>
      <w:r>
        <w:rPr>
          <w:rFonts w:ascii="Arial" w:eastAsia="微软雅黑" w:hAnsi="Arial" w:cs="Arial"/>
          <w:b/>
          <w:szCs w:val="18"/>
          <w:lang w:eastAsia="zh-CN"/>
        </w:rPr>
        <w:t xml:space="preserve">Figure </w:t>
      </w:r>
      <w:r w:rsidR="00263181">
        <w:rPr>
          <w:rFonts w:ascii="Arial" w:eastAsia="微软雅黑" w:hAnsi="Arial" w:cs="Arial"/>
          <w:b/>
          <w:szCs w:val="18"/>
          <w:lang w:eastAsia="zh-CN"/>
        </w:rPr>
        <w:t>3</w:t>
      </w:r>
      <w:r>
        <w:rPr>
          <w:rFonts w:ascii="Arial" w:eastAsia="微软雅黑" w:hAnsi="Arial" w:cs="Arial"/>
          <w:b/>
          <w:szCs w:val="18"/>
          <w:lang w:eastAsia="zh-CN"/>
        </w:rPr>
        <w:t>.</w:t>
      </w:r>
      <w:r w:rsidR="00B12C4A" w:rsidRPr="00530F2A">
        <w:rPr>
          <w:rFonts w:ascii="Arial" w:eastAsia="微软雅黑" w:hAnsi="Arial" w:cs="Arial"/>
          <w:b/>
          <w:szCs w:val="18"/>
          <w:lang w:eastAsia="zh-CN"/>
        </w:rPr>
        <w:t xml:space="preserve"> </w:t>
      </w:r>
      <w:r w:rsidR="00AA39A5">
        <w:rPr>
          <w:rFonts w:ascii="Arial" w:eastAsia="微软雅黑" w:hAnsi="Arial" w:cs="Arial"/>
          <w:szCs w:val="18"/>
          <w:lang w:eastAsia="zh-CN"/>
        </w:rPr>
        <w:t xml:space="preserve">Schematic </w:t>
      </w:r>
      <w:r w:rsidR="00AA39A5">
        <w:rPr>
          <w:rFonts w:ascii="Arial" w:eastAsia="微软雅黑" w:hAnsi="Arial" w:cs="Arial" w:hint="eastAsia"/>
          <w:szCs w:val="18"/>
          <w:lang w:eastAsia="zh-CN"/>
        </w:rPr>
        <w:t>d</w:t>
      </w:r>
      <w:r w:rsidR="00AA39A5">
        <w:rPr>
          <w:rFonts w:ascii="Arial" w:eastAsia="微软雅黑" w:hAnsi="Arial" w:cs="Arial"/>
          <w:szCs w:val="18"/>
          <w:lang w:eastAsia="zh-CN"/>
        </w:rPr>
        <w:t>iagram of the high-voltage DC excitation t</w:t>
      </w:r>
      <w:r w:rsidR="00B12C4A" w:rsidRPr="00530F2A">
        <w:rPr>
          <w:rFonts w:ascii="Arial" w:eastAsia="微软雅黑" w:hAnsi="Arial" w:cs="Arial"/>
          <w:szCs w:val="18"/>
          <w:lang w:eastAsia="zh-CN"/>
        </w:rPr>
        <w:t>est</w:t>
      </w:r>
    </w:p>
    <w:p w14:paraId="45697346" w14:textId="77777777" w:rsidR="00083BE6" w:rsidRPr="00530F2A" w:rsidRDefault="00083BE6" w:rsidP="00B12C4A">
      <w:pPr>
        <w:jc w:val="center"/>
        <w:rPr>
          <w:rFonts w:ascii="Arial" w:eastAsia="微软雅黑" w:hAnsi="Arial" w:cs="Arial"/>
          <w:szCs w:val="18"/>
          <w:lang w:eastAsia="zh-CN"/>
        </w:rPr>
      </w:pPr>
    </w:p>
    <w:p w14:paraId="22CBD0A8" w14:textId="5B34D257" w:rsidR="00B12C4A" w:rsidRDefault="00B12C4A" w:rsidP="006C6AFA">
      <w:pPr>
        <w:rPr>
          <w:rFonts w:eastAsia="微软雅黑"/>
          <w:szCs w:val="18"/>
          <w:lang w:eastAsia="zh-CN"/>
        </w:rPr>
      </w:pPr>
      <w:r w:rsidRPr="00B12C4A">
        <w:rPr>
          <w:rFonts w:eastAsia="微软雅黑" w:hint="eastAsia"/>
          <w:szCs w:val="18"/>
          <w:lang w:eastAsia="zh-CN"/>
        </w:rPr>
        <w:t>Following the establishment of the test setup according to this experimental model, extensive testing revealed that modules which typically</w:t>
      </w:r>
      <w:r w:rsidR="006C6AFA">
        <w:rPr>
          <w:rFonts w:eastAsia="微软雅黑"/>
          <w:szCs w:val="18"/>
          <w:lang w:eastAsia="zh-CN"/>
        </w:rPr>
        <w:t xml:space="preserve"> </w:t>
      </w:r>
      <w:r w:rsidRPr="00B12C4A">
        <w:rPr>
          <w:rFonts w:eastAsia="微软雅黑" w:hint="eastAsia"/>
          <w:szCs w:val="18"/>
          <w:lang w:eastAsia="zh-CN"/>
        </w:rPr>
        <w:t>failed within 8</w:t>
      </w:r>
      <w:r w:rsidR="006C6AFA">
        <w:rPr>
          <w:rFonts w:eastAsia="微软雅黑"/>
          <w:szCs w:val="18"/>
          <w:lang w:eastAsia="zh-CN"/>
        </w:rPr>
        <w:t>~</w:t>
      </w:r>
      <w:r w:rsidRPr="00B12C4A">
        <w:rPr>
          <w:rFonts w:eastAsia="微软雅黑" w:hint="eastAsia"/>
          <w:szCs w:val="18"/>
          <w:lang w:eastAsia="zh-CN"/>
        </w:rPr>
        <w:t>24 hours under the conventional electrostatic friction test could be induced to exhibit the same types of defects in less than 2 hours using the high-voltage DC excitation method at -4 kV.</w:t>
      </w:r>
    </w:p>
    <w:p w14:paraId="5C5FE0B6" w14:textId="77777777" w:rsidR="00DF6535" w:rsidRPr="00DF6535" w:rsidRDefault="00DF6535" w:rsidP="00DF6535">
      <w:pPr>
        <w:pStyle w:val="1"/>
        <w:numPr>
          <w:ilvl w:val="0"/>
          <w:numId w:val="2"/>
        </w:numPr>
        <w:tabs>
          <w:tab w:val="clear" w:pos="2203"/>
          <w:tab w:val="num" w:pos="360"/>
        </w:tabs>
        <w:ind w:left="360"/>
        <w:rPr>
          <w:rFonts w:ascii="Arial" w:eastAsia="微软雅黑" w:hAnsi="Arial" w:cs="Arial"/>
          <w:sz w:val="20"/>
          <w:lang w:eastAsia="zh-CN"/>
        </w:rPr>
      </w:pPr>
      <w:r w:rsidRPr="00DF6535">
        <w:rPr>
          <w:rFonts w:ascii="Arial" w:eastAsia="微软雅黑" w:hAnsi="Arial" w:cs="Arial" w:hint="eastAsia"/>
          <w:sz w:val="20"/>
          <w:lang w:eastAsia="zh-CN"/>
        </w:rPr>
        <w:t xml:space="preserve">Failure Mechanism Analysis </w:t>
      </w:r>
    </w:p>
    <w:p w14:paraId="4EEC1FE5" w14:textId="012F4952" w:rsidR="00DA4BA6" w:rsidRDefault="004C73BE" w:rsidP="0014033B">
      <w:pPr>
        <w:rPr>
          <w:rFonts w:eastAsia="微软雅黑"/>
          <w:szCs w:val="18"/>
          <w:lang w:eastAsia="zh-CN"/>
        </w:rPr>
      </w:pPr>
      <w:r w:rsidRPr="004C73BE">
        <w:rPr>
          <w:rFonts w:eastAsia="微软雅黑" w:hint="eastAsia"/>
          <w:szCs w:val="18"/>
          <w:lang w:eastAsia="zh-CN"/>
        </w:rPr>
        <w:t>Based on failure analysis of defective units, it is hypothesized that the charge accumulation and transfer pathway within the module under an electrostatic field follows the</w:t>
      </w:r>
      <w:r w:rsidR="00DA4BA6">
        <w:rPr>
          <w:rFonts w:eastAsia="微软雅黑" w:hint="eastAsia"/>
          <w:szCs w:val="18"/>
          <w:lang w:eastAsia="zh-CN"/>
        </w:rPr>
        <w:t xml:space="preserve"> model illustrated in Figure </w:t>
      </w:r>
      <w:r w:rsidR="00263181">
        <w:rPr>
          <w:rFonts w:eastAsia="微软雅黑" w:hint="eastAsia"/>
          <w:szCs w:val="18"/>
          <w:lang w:eastAsia="zh-CN"/>
        </w:rPr>
        <w:t>4</w:t>
      </w:r>
      <w:r w:rsidR="00DA4BA6">
        <w:rPr>
          <w:rFonts w:eastAsia="微软雅黑"/>
          <w:szCs w:val="18"/>
          <w:lang w:eastAsia="zh-CN"/>
        </w:rPr>
        <w:t>.</w:t>
      </w:r>
      <w:r w:rsidR="00B2166E">
        <w:rPr>
          <w:rFonts w:eastAsia="微软雅黑"/>
          <w:noProof/>
          <w:szCs w:val="18"/>
          <w:lang w:eastAsia="zh-CN"/>
        </w:rPr>
        <w:drawing>
          <wp:inline distT="0" distB="0" distL="0" distR="0" wp14:anchorId="75A62C58" wp14:editId="21CC7B87">
            <wp:extent cx="3050438" cy="1274469"/>
            <wp:effectExtent l="0" t="0" r="0" b="190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224" cy="1278140"/>
                    </a:xfrm>
                    <a:prstGeom prst="rect">
                      <a:avLst/>
                    </a:prstGeom>
                    <a:noFill/>
                  </pic:spPr>
                </pic:pic>
              </a:graphicData>
            </a:graphic>
          </wp:inline>
        </w:drawing>
      </w:r>
    </w:p>
    <w:p w14:paraId="59C1C260" w14:textId="3F4A4361" w:rsidR="004C73BE" w:rsidRDefault="00DA4BA6" w:rsidP="0014033B">
      <w:pPr>
        <w:rPr>
          <w:rFonts w:ascii="Arial" w:eastAsia="微软雅黑" w:hAnsi="Arial" w:cs="Arial"/>
          <w:szCs w:val="18"/>
          <w:lang w:eastAsia="zh-CN"/>
        </w:rPr>
      </w:pPr>
      <w:r>
        <w:rPr>
          <w:rFonts w:ascii="Arial" w:eastAsia="微软雅黑" w:hAnsi="Arial" w:cs="Arial"/>
          <w:b/>
          <w:szCs w:val="18"/>
          <w:lang w:eastAsia="zh-CN"/>
        </w:rPr>
        <w:t xml:space="preserve">Figure </w:t>
      </w:r>
      <w:r w:rsidR="00263181">
        <w:rPr>
          <w:rFonts w:ascii="Arial" w:eastAsia="微软雅黑" w:hAnsi="Arial" w:cs="Arial"/>
          <w:b/>
          <w:szCs w:val="18"/>
          <w:lang w:eastAsia="zh-CN"/>
        </w:rPr>
        <w:t>4</w:t>
      </w:r>
      <w:r>
        <w:rPr>
          <w:rFonts w:ascii="Arial" w:eastAsia="微软雅黑" w:hAnsi="Arial" w:cs="Arial"/>
          <w:b/>
          <w:szCs w:val="18"/>
          <w:lang w:eastAsia="zh-CN"/>
        </w:rPr>
        <w:t>.</w:t>
      </w:r>
      <w:r w:rsidR="00F6334A">
        <w:rPr>
          <w:rFonts w:ascii="Arial" w:eastAsia="微软雅黑" w:hAnsi="Arial" w:cs="Arial"/>
          <w:b/>
          <w:szCs w:val="18"/>
          <w:lang w:eastAsia="zh-CN"/>
        </w:rPr>
        <w:t xml:space="preserve"> </w:t>
      </w:r>
      <w:r w:rsidR="00DB34F9">
        <w:rPr>
          <w:rFonts w:ascii="Arial" w:eastAsia="微软雅黑" w:hAnsi="Arial" w:cs="Arial"/>
          <w:szCs w:val="18"/>
          <w:lang w:eastAsia="zh-CN"/>
        </w:rPr>
        <w:t>Pathway of charge accumulation and t</w:t>
      </w:r>
      <w:r w:rsidR="004C73BE" w:rsidRPr="00DA4BA6">
        <w:rPr>
          <w:rFonts w:ascii="Arial" w:eastAsia="微软雅黑" w:hAnsi="Arial" w:cs="Arial"/>
          <w:szCs w:val="18"/>
          <w:lang w:eastAsia="zh-CN"/>
        </w:rPr>
        <w:t xml:space="preserve">ransfer under </w:t>
      </w:r>
      <w:r w:rsidR="00DB34F9">
        <w:rPr>
          <w:rFonts w:ascii="Arial" w:eastAsia="微软雅黑" w:hAnsi="Arial" w:cs="Arial"/>
          <w:szCs w:val="18"/>
          <w:lang w:eastAsia="zh-CN"/>
        </w:rPr>
        <w:t>electrostatic f</w:t>
      </w:r>
      <w:r w:rsidR="004C73BE" w:rsidRPr="00DA4BA6">
        <w:rPr>
          <w:rFonts w:ascii="Arial" w:eastAsia="微软雅黑" w:hAnsi="Arial" w:cs="Arial"/>
          <w:szCs w:val="18"/>
          <w:lang w:eastAsia="zh-CN"/>
        </w:rPr>
        <w:t>ield</w:t>
      </w:r>
      <w:r w:rsidR="00FF0500">
        <w:rPr>
          <w:rFonts w:ascii="Arial" w:eastAsia="微软雅黑" w:hAnsi="Arial" w:cs="Arial"/>
          <w:szCs w:val="18"/>
          <w:lang w:eastAsia="zh-CN"/>
        </w:rPr>
        <w:t xml:space="preserve"> </w:t>
      </w:r>
    </w:p>
    <w:p w14:paraId="06452CC8" w14:textId="77777777" w:rsidR="00FF0500" w:rsidRPr="00DA4BA6" w:rsidRDefault="00FF0500" w:rsidP="0014033B">
      <w:pPr>
        <w:rPr>
          <w:rFonts w:ascii="Arial" w:eastAsia="微软雅黑" w:hAnsi="Arial" w:cs="Arial"/>
          <w:szCs w:val="18"/>
          <w:lang w:eastAsia="zh-CN"/>
        </w:rPr>
      </w:pPr>
    </w:p>
    <w:p w14:paraId="4624900D" w14:textId="05E40E2C" w:rsidR="004C73BE" w:rsidRDefault="004C73BE" w:rsidP="0014033B">
      <w:pPr>
        <w:rPr>
          <w:rFonts w:eastAsia="微软雅黑"/>
          <w:szCs w:val="18"/>
          <w:lang w:eastAsia="zh-CN"/>
        </w:rPr>
      </w:pPr>
      <w:r w:rsidRPr="004C73BE">
        <w:rPr>
          <w:rFonts w:eastAsia="微软雅黑" w:hint="eastAsia"/>
          <w:szCs w:val="18"/>
          <w:lang w:eastAsia="zh-CN"/>
        </w:rPr>
        <w:t>Failure Path Inference: Electrostatically generated charges migrate from the Cover Glass (CG) surface along the ink edge to the module's cutting edge, then proceed to the edge of the supporting film beneath the display panel. The charges propagate from the edge across the entire surface of the supporting film. Charge accumulation within the supporting film affects the carriers in the TFT back channel, leading to alterations in th</w:t>
      </w:r>
      <w:r w:rsidR="000559CE">
        <w:rPr>
          <w:rFonts w:eastAsia="微软雅黑" w:hint="eastAsia"/>
          <w:szCs w:val="18"/>
          <w:lang w:eastAsia="zh-CN"/>
        </w:rPr>
        <w:t>e electrical characteristics of</w:t>
      </w:r>
      <w:r w:rsidR="000559CE">
        <w:rPr>
          <w:rFonts w:eastAsia="微软雅黑"/>
          <w:szCs w:val="18"/>
          <w:lang w:eastAsia="zh-CN"/>
        </w:rPr>
        <w:t xml:space="preserve"> </w:t>
      </w:r>
      <w:r w:rsidRPr="004C73BE">
        <w:rPr>
          <w:rFonts w:eastAsia="微软雅黑" w:hint="eastAsia"/>
          <w:szCs w:val="18"/>
          <w:lang w:eastAsia="zh-CN"/>
        </w:rPr>
        <w:t>both the Driving TFT (DTFT) and Switching TFT (STFT), such as a positive shift in the Threshold Voltage (Vth) and an increa</w:t>
      </w:r>
      <w:r w:rsidR="00A41EAC">
        <w:rPr>
          <w:rFonts w:eastAsia="微软雅黑" w:hint="eastAsia"/>
          <w:szCs w:val="18"/>
          <w:lang w:eastAsia="zh-CN"/>
        </w:rPr>
        <w:t>se in the Subthreshold</w:t>
      </w:r>
      <w:r w:rsidR="00A41EAC">
        <w:rPr>
          <w:rFonts w:eastAsia="微软雅黑"/>
          <w:szCs w:val="18"/>
          <w:lang w:eastAsia="zh-CN"/>
        </w:rPr>
        <w:t xml:space="preserve"> </w:t>
      </w:r>
      <w:r w:rsidR="00A255FC">
        <w:rPr>
          <w:rFonts w:eastAsia="微软雅黑" w:hint="eastAsia"/>
          <w:szCs w:val="18"/>
          <w:lang w:eastAsia="zh-CN"/>
        </w:rPr>
        <w:t>Swing (S</w:t>
      </w:r>
      <w:r w:rsidRPr="004C73BE">
        <w:rPr>
          <w:rFonts w:eastAsia="微软雅黑" w:hint="eastAsia"/>
          <w:szCs w:val="18"/>
          <w:lang w:eastAsia="zh-CN"/>
        </w:rPr>
        <w:t>S.). These changes induce display anomalies including edge brightening with a greenish tint, progressive overall greenish display, localized bright spots, and green flickering.</w:t>
      </w:r>
    </w:p>
    <w:p w14:paraId="3A405EF2" w14:textId="78E343AC" w:rsidR="004C73BE" w:rsidRDefault="004C73BE" w:rsidP="0014033B">
      <w:pPr>
        <w:rPr>
          <w:rFonts w:eastAsia="微软雅黑"/>
          <w:szCs w:val="18"/>
          <w:lang w:eastAsia="zh-CN"/>
        </w:rPr>
      </w:pPr>
      <w:r w:rsidRPr="004C73BE">
        <w:rPr>
          <w:rFonts w:eastAsia="微软雅黑" w:hint="eastAsia"/>
          <w:szCs w:val="18"/>
          <w:lang w:eastAsia="zh-CN"/>
        </w:rPr>
        <w:t>Within the electrostatic field, the presence of an endogenous electric field within the module is theorized, with the proposed concept</w:t>
      </w:r>
      <w:r w:rsidR="005E0851">
        <w:rPr>
          <w:rFonts w:eastAsia="微软雅黑" w:hint="eastAsia"/>
          <w:szCs w:val="18"/>
          <w:lang w:eastAsia="zh-CN"/>
        </w:rPr>
        <w:t xml:space="preserve">ual model depicted in Figure </w:t>
      </w:r>
      <w:r w:rsidR="00263181">
        <w:rPr>
          <w:rFonts w:eastAsia="微软雅黑"/>
          <w:szCs w:val="18"/>
          <w:lang w:eastAsia="zh-CN"/>
        </w:rPr>
        <w:t>5</w:t>
      </w:r>
      <w:r w:rsidRPr="004C73BE">
        <w:rPr>
          <w:rFonts w:eastAsia="微软雅黑" w:hint="eastAsia"/>
          <w:szCs w:val="18"/>
          <w:lang w:eastAsia="zh-CN"/>
        </w:rPr>
        <w:t>.</w:t>
      </w:r>
    </w:p>
    <w:p w14:paraId="4C495752" w14:textId="34A7B4E3" w:rsidR="001D6EF9" w:rsidRDefault="001D6EF9" w:rsidP="001D6EF9">
      <w:pPr>
        <w:jc w:val="center"/>
        <w:rPr>
          <w:rFonts w:eastAsia="微软雅黑"/>
          <w:szCs w:val="18"/>
          <w:lang w:eastAsia="zh-CN"/>
        </w:rPr>
      </w:pPr>
      <w:r>
        <w:rPr>
          <w:rFonts w:ascii="微软雅黑" w:eastAsia="微软雅黑" w:hAnsi="微软雅黑"/>
          <w:noProof/>
          <w:color w:val="000000"/>
          <w:sz w:val="16"/>
          <w:lang w:eastAsia="zh-CN"/>
        </w:rPr>
        <w:drawing>
          <wp:inline distT="0" distB="0" distL="0" distR="0" wp14:anchorId="20D348FA" wp14:editId="02FD72B4">
            <wp:extent cx="1525979" cy="1895997"/>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2758" cy="1916845"/>
                    </a:xfrm>
                    <a:prstGeom prst="rect">
                      <a:avLst/>
                    </a:prstGeom>
                    <a:noFill/>
                    <a:ln>
                      <a:noFill/>
                    </a:ln>
                  </pic:spPr>
                </pic:pic>
              </a:graphicData>
            </a:graphic>
          </wp:inline>
        </w:drawing>
      </w:r>
    </w:p>
    <w:p w14:paraId="68540262" w14:textId="6E7318FE" w:rsidR="001D6EF9" w:rsidRDefault="005E0851" w:rsidP="001D6EF9">
      <w:pPr>
        <w:jc w:val="center"/>
        <w:rPr>
          <w:rFonts w:ascii="Arial" w:eastAsia="微软雅黑" w:hAnsi="Arial" w:cs="Arial"/>
          <w:szCs w:val="18"/>
          <w:lang w:eastAsia="zh-CN"/>
        </w:rPr>
      </w:pPr>
      <w:r>
        <w:rPr>
          <w:rFonts w:ascii="Arial" w:eastAsia="微软雅黑" w:hAnsi="Arial" w:cs="Arial"/>
          <w:b/>
          <w:szCs w:val="18"/>
          <w:lang w:eastAsia="zh-CN"/>
        </w:rPr>
        <w:t xml:space="preserve">Figure </w:t>
      </w:r>
      <w:r w:rsidR="00263181">
        <w:rPr>
          <w:rFonts w:ascii="Arial" w:eastAsia="微软雅黑" w:hAnsi="Arial" w:cs="Arial"/>
          <w:b/>
          <w:szCs w:val="18"/>
          <w:lang w:eastAsia="zh-CN"/>
        </w:rPr>
        <w:t>5</w:t>
      </w:r>
      <w:r>
        <w:rPr>
          <w:rFonts w:ascii="Arial" w:eastAsia="微软雅黑" w:hAnsi="Arial" w:cs="Arial"/>
          <w:b/>
          <w:szCs w:val="18"/>
          <w:lang w:eastAsia="zh-CN"/>
        </w:rPr>
        <w:t>.</w:t>
      </w:r>
      <w:r w:rsidR="001D6EF9" w:rsidRPr="00530F2A">
        <w:rPr>
          <w:rFonts w:ascii="Arial" w:eastAsia="微软雅黑" w:hAnsi="Arial" w:cs="Arial"/>
          <w:b/>
          <w:szCs w:val="18"/>
          <w:lang w:eastAsia="zh-CN"/>
        </w:rPr>
        <w:t xml:space="preserve"> </w:t>
      </w:r>
      <w:r w:rsidR="00AA39A5">
        <w:rPr>
          <w:rFonts w:ascii="Arial" w:eastAsia="微软雅黑" w:hAnsi="Arial" w:cs="Arial"/>
          <w:szCs w:val="18"/>
          <w:lang w:eastAsia="zh-CN"/>
        </w:rPr>
        <w:t>Theoretical m</w:t>
      </w:r>
      <w:r w:rsidR="001D6EF9" w:rsidRPr="00530F2A">
        <w:rPr>
          <w:rFonts w:ascii="Arial" w:eastAsia="微软雅黑" w:hAnsi="Arial" w:cs="Arial"/>
          <w:szCs w:val="18"/>
          <w:lang w:eastAsia="zh-CN"/>
        </w:rPr>
        <w:t xml:space="preserve">odel of the </w:t>
      </w:r>
      <w:r w:rsidR="00AA39A5">
        <w:rPr>
          <w:rFonts w:ascii="Arial" w:eastAsia="微软雅黑" w:hAnsi="Arial" w:cs="Arial"/>
          <w:szCs w:val="18"/>
          <w:lang w:eastAsia="zh-CN"/>
        </w:rPr>
        <w:t>endogenous electric f</w:t>
      </w:r>
      <w:r w:rsidR="001D6EF9" w:rsidRPr="00530F2A">
        <w:rPr>
          <w:rFonts w:ascii="Arial" w:eastAsia="微软雅黑" w:hAnsi="Arial" w:cs="Arial"/>
          <w:szCs w:val="18"/>
          <w:lang w:eastAsia="zh-CN"/>
        </w:rPr>
        <w:t>ield</w:t>
      </w:r>
    </w:p>
    <w:p w14:paraId="14B6D72C" w14:textId="77777777" w:rsidR="00083BE6" w:rsidRPr="00530F2A" w:rsidRDefault="00083BE6" w:rsidP="001D6EF9">
      <w:pPr>
        <w:jc w:val="center"/>
        <w:rPr>
          <w:rFonts w:ascii="Arial" w:eastAsia="微软雅黑" w:hAnsi="Arial" w:cs="Arial"/>
          <w:szCs w:val="18"/>
          <w:lang w:eastAsia="zh-CN"/>
        </w:rPr>
      </w:pPr>
    </w:p>
    <w:p w14:paraId="38239078" w14:textId="36E542A2" w:rsidR="001D6EF9" w:rsidRDefault="001D6EF9" w:rsidP="001D6EF9">
      <w:pPr>
        <w:rPr>
          <w:rFonts w:eastAsia="微软雅黑"/>
          <w:szCs w:val="18"/>
          <w:lang w:eastAsia="zh-CN"/>
        </w:rPr>
      </w:pPr>
      <w:r w:rsidRPr="001D6EF9">
        <w:rPr>
          <w:rFonts w:eastAsia="微软雅黑" w:hint="eastAsia"/>
          <w:szCs w:val="18"/>
          <w:lang w:eastAsia="zh-CN"/>
        </w:rPr>
        <w:t xml:space="preserve">The preliminary hypothesis suggests that after electrostatic injection, electrons accumulate on the surface of the </w:t>
      </w:r>
      <w:r w:rsidR="00EE2C82">
        <w:rPr>
          <w:rFonts w:eastAsia="微软雅黑" w:hint="eastAsia"/>
          <w:szCs w:val="18"/>
          <w:lang w:eastAsia="zh-CN"/>
        </w:rPr>
        <w:t>backside supporting film and it</w:t>
      </w:r>
      <w:r w:rsidR="00077981">
        <w:rPr>
          <w:rFonts w:eastAsia="微软雅黑"/>
          <w:szCs w:val="18"/>
          <w:lang w:eastAsia="zh-CN"/>
        </w:rPr>
        <w:t>’</w:t>
      </w:r>
      <w:r w:rsidR="00EE2C82">
        <w:rPr>
          <w:rFonts w:eastAsia="微软雅黑"/>
          <w:szCs w:val="18"/>
          <w:lang w:eastAsia="zh-CN"/>
        </w:rPr>
        <w:t>s</w:t>
      </w:r>
      <w:r w:rsidRPr="001D6EF9">
        <w:rPr>
          <w:rFonts w:eastAsia="微软雅黑" w:hint="eastAsia"/>
          <w:szCs w:val="18"/>
          <w:lang w:eastAsia="zh-CN"/>
        </w:rPr>
        <w:t xml:space="preserve"> adhesive. Mobile space charges exist within the Polyimide (PI) layer. Electron adsorption on the back surface of the PI layer prompts the rapid establishment of an internal electric field within the PI. Positive charges within the PI are attracted to the lower PI interface, while negative charges accumulate at the interface between the PI and buffer layer, thereby inducing positive charges in the back channel</w:t>
      </w:r>
      <w:r w:rsidR="00475F4C">
        <w:rPr>
          <w:rFonts w:eastAsia="微软雅黑"/>
          <w:szCs w:val="18"/>
          <w:lang w:eastAsia="zh-CN"/>
        </w:rPr>
        <w:t xml:space="preserve"> [3]</w:t>
      </w:r>
      <w:r w:rsidRPr="001D6EF9">
        <w:rPr>
          <w:rFonts w:eastAsia="微软雅黑" w:hint="eastAsia"/>
          <w:szCs w:val="18"/>
          <w:lang w:eastAsia="zh-CN"/>
        </w:rPr>
        <w:t>. Due to the back channe</w:t>
      </w:r>
      <w:r w:rsidR="00EC7E35">
        <w:rPr>
          <w:rFonts w:eastAsia="微软雅黑" w:hint="eastAsia"/>
          <w:szCs w:val="18"/>
          <w:lang w:eastAsia="zh-CN"/>
        </w:rPr>
        <w:t>l effect, this influences the S</w:t>
      </w:r>
      <w:r w:rsidRPr="001D6EF9">
        <w:rPr>
          <w:rFonts w:eastAsia="微软雅黑" w:hint="eastAsia"/>
          <w:szCs w:val="18"/>
          <w:lang w:eastAsia="zh-CN"/>
        </w:rPr>
        <w:t>S. and Vth of the TFT, ultimately leading to the electrostatic field-induced failure of the product.</w:t>
      </w:r>
    </w:p>
    <w:p w14:paraId="1D10054D" w14:textId="2F8BBD32" w:rsidR="00F92F41" w:rsidRDefault="00F92F41" w:rsidP="00F92F41">
      <w:pPr>
        <w:jc w:val="center"/>
        <w:rPr>
          <w:rFonts w:eastAsia="微软雅黑"/>
          <w:szCs w:val="18"/>
          <w:lang w:eastAsia="zh-CN"/>
        </w:rPr>
      </w:pPr>
      <w:r>
        <w:rPr>
          <w:rFonts w:ascii="微软雅黑" w:eastAsia="微软雅黑" w:hAnsi="微软雅黑"/>
          <w:noProof/>
          <w:color w:val="000000"/>
          <w:sz w:val="16"/>
          <w:lang w:eastAsia="zh-CN"/>
        </w:rPr>
        <w:drawing>
          <wp:inline distT="0" distB="0" distL="0" distR="0" wp14:anchorId="1EE5FE28" wp14:editId="785419F2">
            <wp:extent cx="2512695" cy="165417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2695" cy="1654175"/>
                    </a:xfrm>
                    <a:prstGeom prst="rect">
                      <a:avLst/>
                    </a:prstGeom>
                    <a:noFill/>
                    <a:ln>
                      <a:noFill/>
                    </a:ln>
                  </pic:spPr>
                </pic:pic>
              </a:graphicData>
            </a:graphic>
          </wp:inline>
        </w:drawing>
      </w:r>
    </w:p>
    <w:p w14:paraId="03F320FE" w14:textId="404DA4EB" w:rsidR="00F92F41" w:rsidRDefault="00263181" w:rsidP="00F92F41">
      <w:pPr>
        <w:jc w:val="center"/>
        <w:rPr>
          <w:rFonts w:ascii="Arial" w:eastAsia="微软雅黑" w:hAnsi="Arial" w:cs="Arial"/>
          <w:szCs w:val="18"/>
          <w:lang w:eastAsia="zh-CN"/>
        </w:rPr>
      </w:pPr>
      <w:r>
        <w:rPr>
          <w:rFonts w:ascii="Arial" w:eastAsia="微软雅黑" w:hAnsi="Arial" w:cs="Arial"/>
          <w:b/>
          <w:szCs w:val="18"/>
          <w:lang w:eastAsia="zh-CN"/>
        </w:rPr>
        <w:t>Figure 6</w:t>
      </w:r>
      <w:r w:rsidR="005E0851">
        <w:rPr>
          <w:rFonts w:ascii="Arial" w:eastAsia="微软雅黑" w:hAnsi="Arial" w:cs="Arial"/>
          <w:b/>
          <w:szCs w:val="18"/>
          <w:lang w:eastAsia="zh-CN"/>
        </w:rPr>
        <w:t>.</w:t>
      </w:r>
      <w:r w:rsidR="00F92F41" w:rsidRPr="00530F2A">
        <w:rPr>
          <w:rFonts w:ascii="Arial" w:eastAsia="微软雅黑" w:hAnsi="Arial" w:cs="Arial"/>
          <w:b/>
          <w:szCs w:val="18"/>
          <w:lang w:eastAsia="zh-CN"/>
        </w:rPr>
        <w:t xml:space="preserve"> </w:t>
      </w:r>
      <w:r w:rsidR="00F92F41" w:rsidRPr="00530F2A">
        <w:rPr>
          <w:rFonts w:ascii="Arial" w:eastAsia="微软雅黑" w:hAnsi="Arial" w:cs="Arial"/>
          <w:szCs w:val="18"/>
          <w:lang w:eastAsia="zh-CN"/>
        </w:rPr>
        <w:t xml:space="preserve">TFT </w:t>
      </w:r>
      <w:r w:rsidR="00C65980">
        <w:rPr>
          <w:rFonts w:ascii="Arial" w:eastAsia="微软雅黑" w:hAnsi="Arial" w:cs="Arial"/>
          <w:szCs w:val="18"/>
          <w:lang w:eastAsia="zh-CN"/>
        </w:rPr>
        <w:t>transfer characteristic c</w:t>
      </w:r>
      <w:r w:rsidR="00F92F41" w:rsidRPr="00530F2A">
        <w:rPr>
          <w:rFonts w:ascii="Arial" w:eastAsia="微软雅黑" w:hAnsi="Arial" w:cs="Arial"/>
          <w:szCs w:val="18"/>
          <w:lang w:eastAsia="zh-CN"/>
        </w:rPr>
        <w:t>urve</w:t>
      </w:r>
    </w:p>
    <w:p w14:paraId="7978186C" w14:textId="77777777" w:rsidR="00083BE6" w:rsidRPr="00530F2A" w:rsidRDefault="00083BE6" w:rsidP="00F92F41">
      <w:pPr>
        <w:jc w:val="center"/>
        <w:rPr>
          <w:rFonts w:ascii="Arial" w:eastAsia="微软雅黑" w:hAnsi="Arial" w:cs="Arial"/>
          <w:szCs w:val="18"/>
          <w:lang w:eastAsia="zh-CN"/>
        </w:rPr>
      </w:pPr>
    </w:p>
    <w:p w14:paraId="6A3BA5AA" w14:textId="77777777" w:rsidR="003648B3" w:rsidRDefault="002C3F9D" w:rsidP="007700E1">
      <w:pPr>
        <w:spacing w:after="0"/>
        <w:jc w:val="distribute"/>
        <w:rPr>
          <w:rFonts w:eastAsia="微软雅黑"/>
          <w:szCs w:val="18"/>
          <w:lang w:eastAsia="zh-CN"/>
        </w:rPr>
      </w:pPr>
      <w:r w:rsidRPr="002C3F9D">
        <w:rPr>
          <w:rFonts w:eastAsia="微软雅黑" w:hint="eastAsia"/>
          <w:szCs w:val="18"/>
          <w:lang w:eastAsia="zh-CN"/>
        </w:rPr>
        <w:t>Explanation of the Failure Mechanism for Green Tint or Flickering:</w:t>
      </w:r>
    </w:p>
    <w:p w14:paraId="656FD50B" w14:textId="0D4F4FD7" w:rsidR="002C3F9D" w:rsidRDefault="002C3F9D" w:rsidP="003648B3">
      <w:pPr>
        <w:jc w:val="distribute"/>
        <w:rPr>
          <w:rFonts w:eastAsia="微软雅黑"/>
          <w:szCs w:val="18"/>
          <w:lang w:eastAsia="zh-CN"/>
        </w:rPr>
      </w:pPr>
      <w:r w:rsidRPr="002C3F9D">
        <w:rPr>
          <w:rFonts w:eastAsia="微软雅黑" w:hint="eastAsia"/>
          <w:szCs w:val="18"/>
          <w:lang w:eastAsia="zh-CN"/>
        </w:rPr>
        <w:t>Electrostatic friction generates negative charges, which transfer and accumulate between the PI layer and the supporting film. The electrostatic charges within the PI and supporting film impact the characteristics of both the DTFT and STFT, causing a positive V</w:t>
      </w:r>
      <w:r w:rsidR="005E0851">
        <w:rPr>
          <w:rFonts w:eastAsia="微软雅黑" w:hint="eastAsia"/>
          <w:szCs w:val="18"/>
          <w:lang w:eastAsia="zh-CN"/>
        </w:rPr>
        <w:t xml:space="preserve">th shift. As shown in Figure </w:t>
      </w:r>
      <w:r w:rsidR="00263181">
        <w:rPr>
          <w:rFonts w:eastAsia="微软雅黑"/>
          <w:szCs w:val="18"/>
          <w:lang w:eastAsia="zh-CN"/>
        </w:rPr>
        <w:t>6</w:t>
      </w:r>
      <w:r w:rsidRPr="002C3F9D">
        <w:rPr>
          <w:rFonts w:eastAsia="微软雅黑" w:hint="eastAsia"/>
          <w:szCs w:val="18"/>
          <w:lang w:eastAsia="zh-CN"/>
        </w:rPr>
        <w:t xml:space="preserve">, which depicts the change in the TFT transfer characteristic curve before and after the test, a positive Vth shift results in a higher drain current (Ids) at the same gate-to-source voltage (Vgs). Given that the Green (G) sub-pixel possesses the highest luminous efficiency among the R, G, B pixels and is most sensitive to current variation, the </w:t>
      </w:r>
      <w:r w:rsidRPr="006909F3">
        <w:rPr>
          <w:rFonts w:eastAsia="微软雅黑"/>
          <w:szCs w:val="18"/>
          <w:lang w:eastAsia="zh-CN"/>
        </w:rPr>
        <w:t>Δ</w:t>
      </w:r>
      <w:r w:rsidRPr="002C3F9D">
        <w:rPr>
          <w:rFonts w:eastAsia="微软雅黑" w:hint="eastAsia"/>
          <w:szCs w:val="18"/>
          <w:lang w:eastAsia="zh-CN"/>
        </w:rPr>
        <w:t>Ids exerts the most significant impact on the G sub-pixel, leading to a dominant greenish display. Furthermore, a positive Vth shift of the TFTs in the Gate Driver on Panel (GIP) region causes the EM circuit to output extra pulses, consequently inducing screen flickering.</w:t>
      </w:r>
    </w:p>
    <w:p w14:paraId="42244284" w14:textId="444DB5F8" w:rsidR="0014033B" w:rsidRPr="0084437E" w:rsidRDefault="0084437E" w:rsidP="0084437E">
      <w:pPr>
        <w:pStyle w:val="1"/>
        <w:numPr>
          <w:ilvl w:val="0"/>
          <w:numId w:val="2"/>
        </w:numPr>
        <w:tabs>
          <w:tab w:val="clear" w:pos="2203"/>
          <w:tab w:val="num" w:pos="360"/>
        </w:tabs>
        <w:ind w:left="360"/>
        <w:rPr>
          <w:rFonts w:ascii="Arial" w:eastAsia="微软雅黑" w:hAnsi="Arial" w:cs="Arial"/>
          <w:sz w:val="20"/>
          <w:lang w:eastAsia="zh-CN"/>
        </w:rPr>
      </w:pPr>
      <w:r w:rsidRPr="0084437E">
        <w:rPr>
          <w:rFonts w:ascii="Arial" w:eastAsia="微软雅黑" w:hAnsi="Arial" w:cs="Arial" w:hint="eastAsia"/>
          <w:sz w:val="20"/>
          <w:lang w:eastAsia="zh-CN"/>
        </w:rPr>
        <w:t>I</w:t>
      </w:r>
      <w:r w:rsidRPr="0084437E">
        <w:rPr>
          <w:rFonts w:ascii="Arial" w:eastAsia="微软雅黑" w:hAnsi="Arial" w:cs="Arial"/>
          <w:sz w:val="20"/>
          <w:lang w:eastAsia="zh-CN"/>
        </w:rPr>
        <w:t>mprovement Measures</w:t>
      </w:r>
    </w:p>
    <w:p w14:paraId="3C372AC1" w14:textId="47499CFA" w:rsidR="0048169D" w:rsidRPr="0048169D" w:rsidRDefault="0048169D" w:rsidP="0048169D">
      <w:pPr>
        <w:rPr>
          <w:rFonts w:eastAsia="微软雅黑"/>
          <w:szCs w:val="18"/>
          <w:lang w:eastAsia="zh-CN"/>
        </w:rPr>
      </w:pPr>
      <w:r w:rsidRPr="0048169D">
        <w:rPr>
          <w:rFonts w:eastAsia="微软雅黑" w:hint="eastAsia"/>
          <w:szCs w:val="18"/>
          <w:lang w:eastAsia="zh-CN"/>
        </w:rPr>
        <w:t>Based on the product failure mechanism, improvements can be made to the polysilicon back channel of the TFT to stabilize its electrical characteristics. The countermeasures for the display panel are as follows:</w:t>
      </w:r>
    </w:p>
    <w:p w14:paraId="3B1AD143" w14:textId="02AEBD08" w:rsidR="0020604A" w:rsidRPr="0043611B" w:rsidRDefault="0048169D" w:rsidP="0043611B">
      <w:pPr>
        <w:pStyle w:val="ab"/>
        <w:numPr>
          <w:ilvl w:val="0"/>
          <w:numId w:val="16"/>
        </w:numPr>
        <w:tabs>
          <w:tab w:val="num" w:pos="720"/>
        </w:tabs>
        <w:jc w:val="distribute"/>
        <w:rPr>
          <w:rFonts w:ascii="Times New Roman" w:hAnsi="Times New Roman" w:cs="Times New Roman"/>
          <w:sz w:val="18"/>
          <w:szCs w:val="18"/>
        </w:rPr>
      </w:pPr>
      <w:r w:rsidRPr="0043611B">
        <w:rPr>
          <w:rFonts w:ascii="Times New Roman" w:hAnsi="Times New Roman" w:cs="Times New Roman"/>
          <w:sz w:val="18"/>
          <w:szCs w:val="18"/>
        </w:rPr>
        <w:t xml:space="preserve">As shown in Figure </w:t>
      </w:r>
      <w:r w:rsidR="00263181">
        <w:rPr>
          <w:rFonts w:ascii="Times New Roman" w:hAnsi="Times New Roman" w:cs="Times New Roman"/>
          <w:sz w:val="18"/>
          <w:szCs w:val="18"/>
        </w:rPr>
        <w:t>7</w:t>
      </w:r>
      <w:r w:rsidRPr="0043611B">
        <w:rPr>
          <w:rFonts w:ascii="Times New Roman" w:hAnsi="Times New Roman" w:cs="Times New Roman"/>
          <w:sz w:val="18"/>
          <w:szCs w:val="18"/>
        </w:rPr>
        <w:t>, add a BSM (</w:t>
      </w:r>
      <w:r w:rsidR="00682071">
        <w:rPr>
          <w:rFonts w:ascii="Times New Roman" w:hAnsi="Times New Roman" w:cs="Times New Roman"/>
          <w:sz w:val="18"/>
          <w:szCs w:val="18"/>
        </w:rPr>
        <w:t>Back-Side Metal</w:t>
      </w:r>
      <w:r w:rsidRPr="0043611B">
        <w:rPr>
          <w:rFonts w:ascii="Times New Roman" w:hAnsi="Times New Roman" w:cs="Times New Roman"/>
          <w:sz w:val="18"/>
          <w:szCs w:val="18"/>
        </w:rPr>
        <w:t>)</w:t>
      </w:r>
      <w:r w:rsidR="00846548">
        <w:rPr>
          <w:rFonts w:ascii="Times New Roman" w:hAnsi="Times New Roman" w:cs="Times New Roman"/>
          <w:sz w:val="18"/>
          <w:szCs w:val="18"/>
        </w:rPr>
        <w:t>[2</w:t>
      </w:r>
      <w:r w:rsidR="00846548">
        <w:rPr>
          <w:rFonts w:ascii="Times New Roman" w:hAnsi="Times New Roman" w:cs="Times New Roman" w:hint="eastAsia"/>
          <w:sz w:val="18"/>
          <w:szCs w:val="18"/>
        </w:rPr>
        <w:t>]</w:t>
      </w:r>
      <w:r w:rsidRPr="0043611B">
        <w:rPr>
          <w:rFonts w:ascii="Times New Roman" w:hAnsi="Times New Roman" w:cs="Times New Roman"/>
          <w:sz w:val="18"/>
          <w:szCs w:val="18"/>
        </w:rPr>
        <w:t xml:space="preserve"> by depositing a metal Molybdenum (Mo) layer within the inorganic</w:t>
      </w:r>
      <w:r w:rsidR="00F57B7D">
        <w:rPr>
          <w:rFonts w:ascii="Times New Roman" w:hAnsi="Times New Roman" w:cs="Times New Roman"/>
          <w:sz w:val="18"/>
          <w:szCs w:val="18"/>
        </w:rPr>
        <w:t xml:space="preserve"> barrier or buffer layer (SiNx</w:t>
      </w:r>
      <w:r w:rsidR="00503331">
        <w:rPr>
          <w:rFonts w:ascii="Times New Roman" w:eastAsiaTheme="minorEastAsia" w:hAnsi="Times New Roman" w:cs="Times New Roman"/>
          <w:sz w:val="18"/>
          <w:szCs w:val="18"/>
          <w:lang w:eastAsia="zh-CN"/>
        </w:rPr>
        <w:t>，</w:t>
      </w:r>
      <w:r w:rsidRPr="0043611B">
        <w:rPr>
          <w:rFonts w:ascii="Times New Roman" w:hAnsi="Times New Roman" w:cs="Times New Roman"/>
          <w:sz w:val="18"/>
          <w:szCs w:val="18"/>
        </w:rPr>
        <w:t>SiOx) beneath the P-Si to shield the back channel. This can effectively reduce the impact of the endogenous electric field in the Polyimide (PI) layer on the electrical characteristic shift of the back channel. This shielding layer must be integrated into the inorganic barrier layer of the DTFT back channel within the Active Area (AA) to improve the greenish display at low brightness and low grayscale caused by DTFT electrical characteristic shifts. Integrating the shielding layer into the TFT back channel of the GIP area can mitigate the green flickering issue caused by extra pulse output from the EM circuit.</w:t>
      </w:r>
    </w:p>
    <w:p w14:paraId="5DD71CBA" w14:textId="4C0E10C3" w:rsidR="0020604A" w:rsidRPr="0043611B" w:rsidRDefault="0048169D" w:rsidP="0043611B">
      <w:pPr>
        <w:pStyle w:val="ab"/>
        <w:numPr>
          <w:ilvl w:val="0"/>
          <w:numId w:val="16"/>
        </w:numPr>
        <w:tabs>
          <w:tab w:val="num" w:pos="720"/>
        </w:tabs>
        <w:jc w:val="both"/>
        <w:rPr>
          <w:rFonts w:ascii="Times New Roman" w:hAnsi="Times New Roman" w:cs="Times New Roman"/>
          <w:sz w:val="18"/>
          <w:szCs w:val="18"/>
        </w:rPr>
      </w:pPr>
      <w:r w:rsidRPr="0043611B">
        <w:rPr>
          <w:rFonts w:ascii="Times New Roman" w:hAnsi="Times New Roman" w:cs="Times New Roman"/>
          <w:sz w:val="18"/>
          <w:szCs w:val="18"/>
        </w:rPr>
        <w:t>Optimize the quality of the 3L film stack (collectively referred to as 3 Layer, consisting of SiNx, SiOx, and a-Si inorganic layers) by improving the process recipe for thin-film deposition, such as adjusting the po</w:t>
      </w:r>
      <w:r w:rsidR="00044BAB">
        <w:rPr>
          <w:rFonts w:ascii="Times New Roman" w:hAnsi="Times New Roman" w:cs="Times New Roman"/>
          <w:sz w:val="18"/>
          <w:szCs w:val="18"/>
        </w:rPr>
        <w:t>wer, and the flow ratios of SiH</w:t>
      </w:r>
      <w:r w:rsidR="009C30F3">
        <w:rPr>
          <w:rFonts w:ascii="Times New Roman" w:hAnsi="Times New Roman" w:cs="Times New Roman"/>
          <w:sz w:val="18"/>
          <w:szCs w:val="18"/>
        </w:rPr>
        <w:t>4</w:t>
      </w:r>
      <w:r w:rsidRPr="0043611B">
        <w:rPr>
          <w:rFonts w:ascii="Times New Roman" w:hAnsi="Times New Roman" w:cs="Times New Roman"/>
          <w:sz w:val="18"/>
          <w:szCs w:val="18"/>
        </w:rPr>
        <w:t xml:space="preserve"> and NH</w:t>
      </w:r>
      <w:r w:rsidR="00044BAB">
        <w:rPr>
          <w:rFonts w:ascii="Times New Roman" w:hAnsi="Times New Roman" w:cs="Times New Roman"/>
          <w:sz w:val="18"/>
          <w:szCs w:val="18"/>
        </w:rPr>
        <w:softHyphen/>
      </w:r>
      <w:r w:rsidR="00044BAB">
        <w:rPr>
          <w:rFonts w:ascii="Times New Roman" w:hAnsi="Times New Roman" w:cs="Times New Roman"/>
          <w:sz w:val="18"/>
          <w:szCs w:val="18"/>
        </w:rPr>
        <w:softHyphen/>
      </w:r>
      <w:r w:rsidR="009C30F3">
        <w:rPr>
          <w:rFonts w:ascii="Times New Roman" w:hAnsi="Times New Roman" w:cs="Times New Roman"/>
          <w:sz w:val="18"/>
          <w:szCs w:val="18"/>
        </w:rPr>
        <w:t>3</w:t>
      </w:r>
      <w:r w:rsidR="002A4932">
        <w:rPr>
          <w:rFonts w:ascii="Times New Roman" w:hAnsi="Times New Roman" w:cs="Times New Roman"/>
          <w:sz w:val="18"/>
          <w:szCs w:val="18"/>
        </w:rPr>
        <w:t>.</w:t>
      </w:r>
    </w:p>
    <w:p w14:paraId="6E17EB80" w14:textId="6DD4181C" w:rsidR="0048169D" w:rsidRPr="0043611B" w:rsidRDefault="0048169D" w:rsidP="0043611B">
      <w:pPr>
        <w:pStyle w:val="ab"/>
        <w:numPr>
          <w:ilvl w:val="0"/>
          <w:numId w:val="16"/>
        </w:numPr>
        <w:tabs>
          <w:tab w:val="num" w:pos="720"/>
        </w:tabs>
        <w:jc w:val="both"/>
        <w:rPr>
          <w:rFonts w:ascii="Times New Roman" w:hAnsi="Times New Roman" w:cs="Times New Roman"/>
          <w:sz w:val="18"/>
          <w:szCs w:val="18"/>
        </w:rPr>
      </w:pPr>
      <w:r w:rsidRPr="0043611B">
        <w:rPr>
          <w:rFonts w:ascii="Times New Roman" w:hAnsi="Times New Roman" w:cs="Times New Roman" w:hint="eastAsia"/>
          <w:sz w:val="18"/>
          <w:szCs w:val="18"/>
        </w:rPr>
        <w:t xml:space="preserve">Increase the impedance of organic adhesives like PI and </w:t>
      </w:r>
      <w:r w:rsidRPr="00062BA5">
        <w:rPr>
          <w:rFonts w:ascii="Times New Roman" w:hAnsi="Times New Roman" w:cs="Times New Roman" w:hint="eastAsia"/>
          <w:sz w:val="18"/>
          <w:szCs w:val="18"/>
        </w:rPr>
        <w:t>BPF</w:t>
      </w:r>
      <w:r w:rsidR="00263181">
        <w:rPr>
          <w:rFonts w:ascii="Times New Roman" w:hAnsi="Times New Roman" w:cs="Times New Roman"/>
          <w:sz w:val="18"/>
          <w:szCs w:val="18"/>
        </w:rPr>
        <w:t xml:space="preserve"> </w:t>
      </w:r>
      <w:r w:rsidR="00062BA5">
        <w:rPr>
          <w:rFonts w:ascii="Times New Roman" w:hAnsi="Times New Roman" w:cs="Times New Roman"/>
          <w:sz w:val="18"/>
          <w:szCs w:val="18"/>
        </w:rPr>
        <w:t>(</w:t>
      </w:r>
      <w:r w:rsidR="00062BA5" w:rsidRPr="00062BA5">
        <w:rPr>
          <w:rFonts w:ascii="Times New Roman" w:hAnsi="Times New Roman" w:cs="Times New Roman"/>
          <w:sz w:val="18"/>
          <w:szCs w:val="18"/>
        </w:rPr>
        <w:t>B</w:t>
      </w:r>
      <w:r w:rsidR="00062BA5" w:rsidRPr="00062BA5">
        <w:rPr>
          <w:rFonts w:ascii="Times New Roman" w:hAnsi="Times New Roman" w:cs="Times New Roman" w:hint="eastAsia"/>
          <w:sz w:val="18"/>
          <w:szCs w:val="18"/>
        </w:rPr>
        <w:t>ack</w:t>
      </w:r>
      <w:r w:rsidR="00062BA5" w:rsidRPr="00062BA5">
        <w:rPr>
          <w:rFonts w:ascii="Times New Roman" w:hAnsi="Times New Roman" w:cs="Times New Roman"/>
          <w:sz w:val="18"/>
          <w:szCs w:val="18"/>
        </w:rPr>
        <w:t xml:space="preserve"> P</w:t>
      </w:r>
      <w:r w:rsidR="00062BA5" w:rsidRPr="00062BA5">
        <w:rPr>
          <w:rFonts w:ascii="Times New Roman" w:hAnsi="Times New Roman" w:cs="Times New Roman" w:hint="eastAsia"/>
          <w:sz w:val="18"/>
          <w:szCs w:val="18"/>
        </w:rPr>
        <w:t>late</w:t>
      </w:r>
      <w:r w:rsidR="00062BA5" w:rsidRPr="00062BA5">
        <w:rPr>
          <w:rFonts w:ascii="Times New Roman" w:hAnsi="Times New Roman" w:cs="Times New Roman"/>
          <w:sz w:val="18"/>
          <w:szCs w:val="18"/>
        </w:rPr>
        <w:t xml:space="preserve"> fil</w:t>
      </w:r>
      <w:r w:rsidR="00062BA5" w:rsidRPr="00062BA5">
        <w:rPr>
          <w:rFonts w:ascii="Times New Roman" w:hAnsi="Times New Roman" w:cs="Times New Roman" w:hint="eastAsia"/>
          <w:sz w:val="18"/>
          <w:szCs w:val="18"/>
        </w:rPr>
        <w:t>m</w:t>
      </w:r>
      <w:r w:rsidR="00062BA5" w:rsidRPr="00062BA5">
        <w:rPr>
          <w:rFonts w:ascii="Times New Roman" w:hAnsi="Times New Roman" w:cs="Times New Roman"/>
          <w:sz w:val="18"/>
          <w:szCs w:val="18"/>
        </w:rPr>
        <w:t>)</w:t>
      </w:r>
      <w:r w:rsidRPr="0043611B">
        <w:rPr>
          <w:rFonts w:ascii="Times New Roman" w:hAnsi="Times New Roman" w:cs="Times New Roman" w:hint="eastAsia"/>
          <w:sz w:val="18"/>
          <w:szCs w:val="18"/>
        </w:rPr>
        <w:t xml:space="preserve"> to weaken the influence of the endogenous electric field within the PI, thereby stabilizing the electrical characteristics of the TFT back channel and enhancing the module's resistance to electrostatic fields.</w:t>
      </w:r>
    </w:p>
    <w:p w14:paraId="3E45E6CA" w14:textId="77777777" w:rsidR="0043611B" w:rsidRDefault="0048169D" w:rsidP="0048169D">
      <w:pPr>
        <w:rPr>
          <w:rFonts w:eastAsia="微软雅黑"/>
          <w:szCs w:val="18"/>
          <w:lang w:eastAsia="zh-CN"/>
        </w:rPr>
      </w:pPr>
      <w:r w:rsidRPr="0048169D">
        <w:rPr>
          <w:rFonts w:eastAsia="微软雅黑" w:hint="eastAsia"/>
          <w:szCs w:val="18"/>
          <w:lang w:eastAsia="zh-CN"/>
        </w:rPr>
        <w:t>Module improvement countermeasures include:</w:t>
      </w:r>
    </w:p>
    <w:p w14:paraId="41A4D762" w14:textId="77777777" w:rsidR="002F6E94" w:rsidRDefault="0048169D" w:rsidP="002F6E94">
      <w:pPr>
        <w:pStyle w:val="ab"/>
        <w:numPr>
          <w:ilvl w:val="0"/>
          <w:numId w:val="16"/>
        </w:numPr>
        <w:tabs>
          <w:tab w:val="num" w:pos="720"/>
        </w:tabs>
        <w:jc w:val="both"/>
        <w:rPr>
          <w:rFonts w:ascii="Times New Roman" w:hAnsi="Times New Roman" w:cs="Times New Roman"/>
          <w:sz w:val="18"/>
          <w:szCs w:val="18"/>
        </w:rPr>
      </w:pPr>
      <w:r w:rsidRPr="0043611B">
        <w:rPr>
          <w:rFonts w:ascii="Times New Roman" w:hAnsi="Times New Roman" w:cs="Times New Roman" w:hint="eastAsia"/>
          <w:sz w:val="18"/>
          <w:szCs w:val="18"/>
        </w:rPr>
        <w:t>Applying conductive paste or silver paste on th</w:t>
      </w:r>
      <w:r w:rsidR="007A6A58">
        <w:rPr>
          <w:rFonts w:ascii="Times New Roman" w:hAnsi="Times New Roman" w:cs="Times New Roman" w:hint="eastAsia"/>
          <w:sz w:val="18"/>
          <w:szCs w:val="18"/>
        </w:rPr>
        <w:t>e module, as shown in Figure 8</w:t>
      </w:r>
      <w:r w:rsidRPr="0043611B">
        <w:rPr>
          <w:rFonts w:ascii="Times New Roman" w:hAnsi="Times New Roman" w:cs="Times New Roman" w:hint="eastAsia"/>
          <w:sz w:val="18"/>
          <w:szCs w:val="18"/>
        </w:rPr>
        <w:t>. The silver paste can be applied to the test side area of the OLED module to connect the Cover Glass (CG) and the copper foil. In real user scenarios, electrostatic charges generated by friction can be directly conducted from the CG surface to the copper foil of the SCF (composite tape), preventing charges from migrating into the supporting film and thus affecting the display panel.</w:t>
      </w:r>
    </w:p>
    <w:p w14:paraId="0F4DD8D4" w14:textId="453AFA46" w:rsidR="00083BE6" w:rsidRPr="00A0579D" w:rsidRDefault="002F6E94" w:rsidP="002F6E94">
      <w:pPr>
        <w:pStyle w:val="ab"/>
        <w:numPr>
          <w:ilvl w:val="0"/>
          <w:numId w:val="16"/>
        </w:numPr>
        <w:tabs>
          <w:tab w:val="num" w:pos="720"/>
        </w:tabs>
        <w:jc w:val="both"/>
        <w:rPr>
          <w:rFonts w:ascii="Times New Roman" w:hAnsi="Times New Roman" w:cs="Times New Roman"/>
          <w:sz w:val="18"/>
          <w:szCs w:val="18"/>
        </w:rPr>
      </w:pPr>
      <w:r w:rsidRPr="002F6E94">
        <w:rPr>
          <w:rFonts w:ascii="Times New Roman" w:hAnsi="Times New Roman" w:cs="Times New Roman"/>
          <w:sz w:val="18"/>
          <w:szCs w:val="18"/>
        </w:rPr>
        <w:t>When performing integrated cutting of the module components including OCA, polarizer, panel, and BPF, the cutting parameters are optimized to increase the edge resistance of the module. This prevents charges on the CG surface from entering the display body along the cut edge.</w:t>
      </w:r>
    </w:p>
    <w:p w14:paraId="5CD10913" w14:textId="0AAF1024" w:rsidR="00A0579D" w:rsidRPr="00A0579D" w:rsidRDefault="00A0579D" w:rsidP="00A0579D">
      <w:pPr>
        <w:tabs>
          <w:tab w:val="num" w:pos="720"/>
        </w:tabs>
        <w:ind w:left="360"/>
        <w:jc w:val="center"/>
        <w:rPr>
          <w:szCs w:val="18"/>
        </w:rPr>
      </w:pPr>
      <w:r>
        <w:rPr>
          <w:noProof/>
          <w:szCs w:val="18"/>
          <w:lang w:eastAsia="zh-CN"/>
        </w:rPr>
        <w:drawing>
          <wp:inline distT="0" distB="0" distL="0" distR="0" wp14:anchorId="790AE507" wp14:editId="32014756">
            <wp:extent cx="2112490" cy="1958454"/>
            <wp:effectExtent l="0" t="0" r="2540" b="381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32428" cy="1976938"/>
                    </a:xfrm>
                    <a:prstGeom prst="rect">
                      <a:avLst/>
                    </a:prstGeom>
                    <a:noFill/>
                  </pic:spPr>
                </pic:pic>
              </a:graphicData>
            </a:graphic>
          </wp:inline>
        </w:drawing>
      </w:r>
      <w:bookmarkStart w:id="0" w:name="_GoBack"/>
      <w:bookmarkEnd w:id="0"/>
    </w:p>
    <w:p w14:paraId="0E33372C" w14:textId="15D8009D" w:rsidR="00C733CB" w:rsidRDefault="00C733CB" w:rsidP="00C733CB">
      <w:pPr>
        <w:jc w:val="center"/>
        <w:rPr>
          <w:rFonts w:ascii="Arial" w:eastAsia="微软雅黑" w:hAnsi="Arial" w:cs="Arial"/>
          <w:szCs w:val="18"/>
          <w:lang w:eastAsia="zh-CN"/>
        </w:rPr>
      </w:pPr>
      <w:r w:rsidRPr="00530F2A">
        <w:rPr>
          <w:rFonts w:ascii="Arial" w:eastAsia="微软雅黑" w:hAnsi="Arial" w:cs="Arial" w:hint="eastAsia"/>
          <w:b/>
          <w:szCs w:val="18"/>
          <w:lang w:eastAsia="zh-CN"/>
        </w:rPr>
        <w:t xml:space="preserve">Figure </w:t>
      </w:r>
      <w:r w:rsidR="00263181">
        <w:rPr>
          <w:rFonts w:ascii="Arial" w:eastAsia="微软雅黑" w:hAnsi="Arial" w:cs="Arial"/>
          <w:b/>
          <w:szCs w:val="18"/>
          <w:lang w:eastAsia="zh-CN"/>
        </w:rPr>
        <w:t>7</w:t>
      </w:r>
      <w:r w:rsidR="008E3D40">
        <w:rPr>
          <w:rFonts w:ascii="Arial" w:eastAsia="微软雅黑" w:hAnsi="Arial" w:cs="Arial"/>
          <w:b/>
          <w:szCs w:val="18"/>
          <w:lang w:eastAsia="zh-CN"/>
        </w:rPr>
        <w:t>.</w:t>
      </w:r>
      <w:r w:rsidRPr="00530F2A">
        <w:rPr>
          <w:rFonts w:ascii="Arial" w:eastAsia="微软雅黑" w:hAnsi="Arial" w:cs="Arial" w:hint="eastAsia"/>
          <w:b/>
          <w:szCs w:val="18"/>
          <w:lang w:eastAsia="zh-CN"/>
        </w:rPr>
        <w:t xml:space="preserve"> </w:t>
      </w:r>
      <w:r w:rsidR="00467DD0">
        <w:rPr>
          <w:rFonts w:ascii="Arial" w:eastAsia="微软雅黑" w:hAnsi="Arial" w:cs="Arial" w:hint="eastAsia"/>
          <w:szCs w:val="18"/>
          <w:lang w:eastAsia="zh-CN"/>
        </w:rPr>
        <w:t xml:space="preserve">Schematic </w:t>
      </w:r>
      <w:r w:rsidR="00467DD0">
        <w:rPr>
          <w:rFonts w:ascii="Arial" w:eastAsia="微软雅黑" w:hAnsi="Arial" w:cs="Arial"/>
          <w:szCs w:val="18"/>
          <w:lang w:eastAsia="zh-CN"/>
        </w:rPr>
        <w:t>d</w:t>
      </w:r>
      <w:r w:rsidR="00F139E3">
        <w:rPr>
          <w:rFonts w:ascii="Arial" w:eastAsia="微软雅黑" w:hAnsi="Arial" w:cs="Arial" w:hint="eastAsia"/>
          <w:szCs w:val="18"/>
          <w:lang w:eastAsia="zh-CN"/>
        </w:rPr>
        <w:t xml:space="preserve">iagram of </w:t>
      </w:r>
      <w:r w:rsidR="00B12AFC">
        <w:rPr>
          <w:rFonts w:ascii="Arial" w:eastAsia="微软雅黑" w:hAnsi="Arial" w:cs="Arial"/>
          <w:szCs w:val="18"/>
          <w:lang w:eastAsia="zh-CN"/>
        </w:rPr>
        <w:t>TFT</w:t>
      </w:r>
      <w:r w:rsidR="00467DD0">
        <w:rPr>
          <w:rFonts w:ascii="Arial" w:eastAsia="微软雅黑" w:hAnsi="Arial" w:cs="Arial" w:hint="eastAsia"/>
          <w:szCs w:val="18"/>
          <w:lang w:eastAsia="zh-CN"/>
        </w:rPr>
        <w:t xml:space="preserve"> </w:t>
      </w:r>
      <w:r w:rsidR="00467DD0">
        <w:rPr>
          <w:rFonts w:ascii="Arial" w:eastAsia="微软雅黑" w:hAnsi="Arial" w:cs="Arial"/>
          <w:szCs w:val="18"/>
          <w:lang w:eastAsia="zh-CN"/>
        </w:rPr>
        <w:t>s</w:t>
      </w:r>
      <w:r w:rsidR="00467DD0">
        <w:rPr>
          <w:rFonts w:ascii="Arial" w:eastAsia="微软雅黑" w:hAnsi="Arial" w:cs="Arial" w:hint="eastAsia"/>
          <w:szCs w:val="18"/>
          <w:lang w:eastAsia="zh-CN"/>
        </w:rPr>
        <w:t xml:space="preserve">tructure with </w:t>
      </w:r>
      <w:r w:rsidR="00467DD0">
        <w:rPr>
          <w:rFonts w:ascii="Arial" w:eastAsia="微软雅黑" w:hAnsi="Arial" w:cs="Arial"/>
          <w:szCs w:val="18"/>
          <w:lang w:eastAsia="zh-CN"/>
        </w:rPr>
        <w:t>e</w:t>
      </w:r>
      <w:r w:rsidR="00467DD0">
        <w:rPr>
          <w:rFonts w:ascii="Arial" w:eastAsia="微软雅黑" w:hAnsi="Arial" w:cs="Arial" w:hint="eastAsia"/>
          <w:szCs w:val="18"/>
          <w:lang w:eastAsia="zh-CN"/>
        </w:rPr>
        <w:t xml:space="preserve">lectric </w:t>
      </w:r>
      <w:r w:rsidR="00467DD0">
        <w:rPr>
          <w:rFonts w:ascii="Arial" w:eastAsia="微软雅黑" w:hAnsi="Arial" w:cs="Arial"/>
          <w:szCs w:val="18"/>
          <w:lang w:eastAsia="zh-CN"/>
        </w:rPr>
        <w:t>f</w:t>
      </w:r>
      <w:r w:rsidR="00467DD0">
        <w:rPr>
          <w:rFonts w:ascii="Arial" w:eastAsia="微软雅黑" w:hAnsi="Arial" w:cs="Arial" w:hint="eastAsia"/>
          <w:szCs w:val="18"/>
          <w:lang w:eastAsia="zh-CN"/>
        </w:rPr>
        <w:t xml:space="preserve">ield </w:t>
      </w:r>
      <w:r w:rsidR="00467DD0">
        <w:rPr>
          <w:rFonts w:ascii="Arial" w:eastAsia="微软雅黑" w:hAnsi="Arial" w:cs="Arial"/>
          <w:szCs w:val="18"/>
          <w:lang w:eastAsia="zh-CN"/>
        </w:rPr>
        <w:t>s</w:t>
      </w:r>
      <w:r w:rsidR="00467DD0">
        <w:rPr>
          <w:rFonts w:ascii="Arial" w:eastAsia="微软雅黑" w:hAnsi="Arial" w:cs="Arial" w:hint="eastAsia"/>
          <w:szCs w:val="18"/>
          <w:lang w:eastAsia="zh-CN"/>
        </w:rPr>
        <w:t xml:space="preserve">hielding </w:t>
      </w:r>
      <w:r w:rsidR="00467DD0">
        <w:rPr>
          <w:rFonts w:ascii="Arial" w:eastAsia="微软雅黑" w:hAnsi="Arial" w:cs="Arial"/>
          <w:szCs w:val="18"/>
          <w:lang w:eastAsia="zh-CN"/>
        </w:rPr>
        <w:t>l</w:t>
      </w:r>
      <w:r w:rsidRPr="00530F2A">
        <w:rPr>
          <w:rFonts w:ascii="Arial" w:eastAsia="微软雅黑" w:hAnsi="Arial" w:cs="Arial" w:hint="eastAsia"/>
          <w:szCs w:val="18"/>
          <w:lang w:eastAsia="zh-CN"/>
        </w:rPr>
        <w:t>ayer</w:t>
      </w:r>
    </w:p>
    <w:p w14:paraId="20CF0197" w14:textId="77777777" w:rsidR="00083BE6" w:rsidRDefault="00083BE6" w:rsidP="00C733CB">
      <w:pPr>
        <w:jc w:val="center"/>
        <w:rPr>
          <w:rFonts w:ascii="Arial" w:eastAsia="微软雅黑" w:hAnsi="Arial" w:cs="Arial"/>
          <w:szCs w:val="18"/>
          <w:lang w:eastAsia="zh-CN"/>
        </w:rPr>
      </w:pPr>
    </w:p>
    <w:p w14:paraId="2B913982" w14:textId="1B65F76D" w:rsidR="00C733CB" w:rsidRPr="00690BF2" w:rsidRDefault="00690BF2" w:rsidP="00690BF2">
      <w:pPr>
        <w:jc w:val="center"/>
        <w:rPr>
          <w:rFonts w:ascii="Arial" w:eastAsia="微软雅黑" w:hAnsi="Arial" w:cs="Arial"/>
          <w:szCs w:val="18"/>
          <w:lang w:eastAsia="zh-CN"/>
        </w:rPr>
      </w:pPr>
      <w:r>
        <w:rPr>
          <w:rFonts w:ascii="Arial" w:eastAsia="微软雅黑" w:hAnsi="Arial" w:cs="Arial"/>
          <w:noProof/>
          <w:szCs w:val="18"/>
          <w:lang w:eastAsia="zh-CN"/>
        </w:rPr>
        <w:drawing>
          <wp:inline distT="0" distB="0" distL="0" distR="0" wp14:anchorId="52C8A006" wp14:editId="3B1696DB">
            <wp:extent cx="3063923" cy="515152"/>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81242" cy="534877"/>
                    </a:xfrm>
                    <a:prstGeom prst="rect">
                      <a:avLst/>
                    </a:prstGeom>
                    <a:noFill/>
                  </pic:spPr>
                </pic:pic>
              </a:graphicData>
            </a:graphic>
          </wp:inline>
        </w:drawing>
      </w:r>
    </w:p>
    <w:p w14:paraId="03712A9E" w14:textId="71556F1A" w:rsidR="001C47D6" w:rsidRDefault="001C47D6" w:rsidP="001C47D6">
      <w:pPr>
        <w:jc w:val="center"/>
        <w:rPr>
          <w:rFonts w:ascii="Arial" w:eastAsia="微软雅黑" w:hAnsi="Arial" w:cs="Arial"/>
          <w:szCs w:val="18"/>
          <w:lang w:eastAsia="zh-CN"/>
        </w:rPr>
      </w:pPr>
      <w:r w:rsidRPr="00530F2A">
        <w:rPr>
          <w:rFonts w:ascii="Arial" w:eastAsia="微软雅黑" w:hAnsi="Arial" w:cs="Arial" w:hint="eastAsia"/>
          <w:b/>
          <w:szCs w:val="18"/>
          <w:lang w:eastAsia="zh-CN"/>
        </w:rPr>
        <w:t xml:space="preserve">Figure </w:t>
      </w:r>
      <w:r w:rsidR="007A6A58">
        <w:rPr>
          <w:rFonts w:ascii="Arial" w:eastAsia="微软雅黑" w:hAnsi="Arial" w:cs="Arial" w:hint="eastAsia"/>
          <w:b/>
          <w:szCs w:val="18"/>
          <w:lang w:eastAsia="zh-CN"/>
        </w:rPr>
        <w:t>8</w:t>
      </w:r>
      <w:r w:rsidR="005520E2">
        <w:rPr>
          <w:rFonts w:ascii="Arial" w:eastAsia="微软雅黑" w:hAnsi="Arial" w:cs="Arial" w:hint="eastAsia"/>
          <w:b/>
          <w:szCs w:val="18"/>
          <w:lang w:eastAsia="zh-CN"/>
        </w:rPr>
        <w:t>.</w:t>
      </w:r>
      <w:r w:rsidRPr="00530F2A">
        <w:rPr>
          <w:rFonts w:ascii="Arial" w:eastAsia="微软雅黑" w:hAnsi="Arial" w:cs="Arial" w:hint="eastAsia"/>
          <w:b/>
          <w:szCs w:val="18"/>
          <w:lang w:eastAsia="zh-CN"/>
        </w:rPr>
        <w:t xml:space="preserve"> </w:t>
      </w:r>
      <w:r w:rsidR="00764CD7">
        <w:rPr>
          <w:rFonts w:ascii="Arial" w:eastAsia="微软雅黑" w:hAnsi="Arial" w:cs="Arial" w:hint="eastAsia"/>
          <w:szCs w:val="18"/>
          <w:lang w:eastAsia="zh-CN"/>
        </w:rPr>
        <w:t xml:space="preserve">Schematic of the </w:t>
      </w:r>
      <w:r w:rsidR="00764CD7">
        <w:rPr>
          <w:rFonts w:ascii="Arial" w:eastAsia="微软雅黑" w:hAnsi="Arial" w:cs="Arial"/>
          <w:szCs w:val="18"/>
          <w:lang w:eastAsia="zh-CN"/>
        </w:rPr>
        <w:t>m</w:t>
      </w:r>
      <w:r w:rsidR="00764CD7">
        <w:rPr>
          <w:rFonts w:ascii="Arial" w:eastAsia="微软雅黑" w:hAnsi="Arial" w:cs="Arial" w:hint="eastAsia"/>
          <w:szCs w:val="18"/>
          <w:lang w:eastAsia="zh-CN"/>
        </w:rPr>
        <w:t xml:space="preserve">odule </w:t>
      </w:r>
      <w:r w:rsidR="00764CD7">
        <w:rPr>
          <w:rFonts w:ascii="Arial" w:eastAsia="微软雅黑" w:hAnsi="Arial" w:cs="Arial"/>
          <w:szCs w:val="18"/>
          <w:lang w:eastAsia="zh-CN"/>
        </w:rPr>
        <w:t>s</w:t>
      </w:r>
      <w:r w:rsidR="00764CD7">
        <w:rPr>
          <w:rFonts w:ascii="Arial" w:eastAsia="微软雅黑" w:hAnsi="Arial" w:cs="Arial" w:hint="eastAsia"/>
          <w:szCs w:val="18"/>
          <w:lang w:eastAsia="zh-CN"/>
        </w:rPr>
        <w:t xml:space="preserve">tructure with </w:t>
      </w:r>
      <w:r w:rsidR="00764CD7">
        <w:rPr>
          <w:rFonts w:ascii="Arial" w:eastAsia="微软雅黑" w:hAnsi="Arial" w:cs="Arial"/>
          <w:szCs w:val="18"/>
          <w:lang w:eastAsia="zh-CN"/>
        </w:rPr>
        <w:t>s</w:t>
      </w:r>
      <w:r w:rsidR="00764CD7">
        <w:rPr>
          <w:rFonts w:ascii="Arial" w:eastAsia="微软雅黑" w:hAnsi="Arial" w:cs="Arial" w:hint="eastAsia"/>
          <w:szCs w:val="18"/>
          <w:lang w:eastAsia="zh-CN"/>
        </w:rPr>
        <w:t xml:space="preserve">ilver </w:t>
      </w:r>
      <w:r w:rsidR="00764CD7">
        <w:rPr>
          <w:rFonts w:ascii="Arial" w:eastAsia="微软雅黑" w:hAnsi="Arial" w:cs="Arial"/>
          <w:szCs w:val="18"/>
          <w:lang w:eastAsia="zh-CN"/>
        </w:rPr>
        <w:t>p</w:t>
      </w:r>
      <w:r w:rsidR="00764CD7">
        <w:rPr>
          <w:rFonts w:ascii="Arial" w:eastAsia="微软雅黑" w:hAnsi="Arial" w:cs="Arial" w:hint="eastAsia"/>
          <w:szCs w:val="18"/>
          <w:lang w:eastAsia="zh-CN"/>
        </w:rPr>
        <w:t xml:space="preserve">aste </w:t>
      </w:r>
      <w:r w:rsidR="00764CD7">
        <w:rPr>
          <w:rFonts w:ascii="Arial" w:eastAsia="微软雅黑" w:hAnsi="Arial" w:cs="Arial"/>
          <w:szCs w:val="18"/>
          <w:lang w:eastAsia="zh-CN"/>
        </w:rPr>
        <w:t>c</w:t>
      </w:r>
      <w:r w:rsidRPr="00530F2A">
        <w:rPr>
          <w:rFonts w:ascii="Arial" w:eastAsia="微软雅黑" w:hAnsi="Arial" w:cs="Arial" w:hint="eastAsia"/>
          <w:szCs w:val="18"/>
          <w:lang w:eastAsia="zh-CN"/>
        </w:rPr>
        <w:t>oating</w:t>
      </w:r>
    </w:p>
    <w:p w14:paraId="407CC749" w14:textId="77777777" w:rsidR="00083BE6" w:rsidRPr="00530F2A" w:rsidRDefault="00083BE6" w:rsidP="001C47D6">
      <w:pPr>
        <w:jc w:val="center"/>
        <w:rPr>
          <w:rFonts w:ascii="Arial" w:eastAsia="微软雅黑" w:hAnsi="Arial" w:cs="Arial"/>
          <w:szCs w:val="18"/>
          <w:lang w:eastAsia="zh-CN"/>
        </w:rPr>
      </w:pPr>
    </w:p>
    <w:p w14:paraId="60A591A0" w14:textId="62FEE9AE" w:rsidR="005E0E6C" w:rsidRDefault="005E0E6C" w:rsidP="0048169D">
      <w:pPr>
        <w:rPr>
          <w:rFonts w:ascii="微软雅黑" w:eastAsia="微软雅黑" w:hAnsi="微软雅黑"/>
          <w:color w:val="333333"/>
          <w:sz w:val="21"/>
          <w:szCs w:val="21"/>
          <w:shd w:val="clear" w:color="auto" w:fill="CCE6FF"/>
        </w:rPr>
      </w:pPr>
      <w:r w:rsidRPr="005E0E6C">
        <w:rPr>
          <w:rFonts w:eastAsia="微软雅黑" w:hint="eastAsia"/>
          <w:szCs w:val="18"/>
          <w:lang w:eastAsia="zh-CN"/>
        </w:rPr>
        <w:t>After implementing the panel improvement measures, 10 modules were tested under the high-voltage excitation field test for 8 hours. No significant failure phenomena such as greenish display or green flickering were observed on any of the 10 modules under the Normal test image. Given the sensitivity of OLEDs to TFT current variations, especially at low brightness and low grayscale, the color coordinate shift of the 2nit-W32 pattern was measured before and after testing. The</w:t>
      </w:r>
      <w:r w:rsidR="003A6416">
        <w:rPr>
          <w:rFonts w:eastAsia="微软雅黑" w:hint="eastAsia"/>
          <w:szCs w:val="18"/>
          <w:lang w:eastAsia="zh-CN"/>
        </w:rPr>
        <w:t xml:space="preserve"> results are shown in Figure 9</w:t>
      </w:r>
      <w:r w:rsidRPr="005E0E6C">
        <w:rPr>
          <w:rFonts w:eastAsia="微软雅黑" w:hint="eastAsia"/>
          <w:szCs w:val="18"/>
          <w:lang w:eastAsia="zh-CN"/>
        </w:rPr>
        <w:t>. After the 8-hour ele</w:t>
      </w:r>
      <w:r w:rsidR="009D3D2F">
        <w:rPr>
          <w:rFonts w:eastAsia="微软雅黑" w:hint="eastAsia"/>
          <w:szCs w:val="18"/>
          <w:lang w:eastAsia="zh-CN"/>
        </w:rPr>
        <w:t xml:space="preserve">ctric field test, the average </w:t>
      </w:r>
      <w:r w:rsidR="008220DB">
        <w:rPr>
          <w:rFonts w:eastAsia="微软雅黑"/>
          <w:szCs w:val="18"/>
          <w:lang w:eastAsia="zh-CN"/>
        </w:rPr>
        <w:t>CIE</w:t>
      </w:r>
      <w:r w:rsidR="009D3D2F">
        <w:rPr>
          <w:rFonts w:eastAsia="微软雅黑"/>
          <w:szCs w:val="18"/>
          <w:lang w:eastAsia="zh-CN"/>
        </w:rPr>
        <w:t>-y</w:t>
      </w:r>
      <w:r w:rsidR="008220DB">
        <w:rPr>
          <w:rFonts w:eastAsia="微软雅黑" w:hint="eastAsia"/>
          <w:szCs w:val="18"/>
          <w:lang w:eastAsia="zh-CN"/>
        </w:rPr>
        <w:t xml:space="preserve"> for 2nit-w</w:t>
      </w:r>
      <w:r w:rsidRPr="005E0E6C">
        <w:rPr>
          <w:rFonts w:eastAsia="微软雅黑" w:hint="eastAsia"/>
          <w:szCs w:val="18"/>
          <w:lang w:eastAsia="zh-CN"/>
        </w:rPr>
        <w:t>32 was 0.325, with a maximum of 0.352. The objective color point showed a slight yellowish-green shift, but no subjective greenish display was visually perceived. This objectively demonstrates the effectiveness of the implemented countermeasures, proving their role in minimizing the impact of the electric field on TFT characteristic shifts.</w:t>
      </w:r>
    </w:p>
    <w:p w14:paraId="20807826" w14:textId="47449823" w:rsidR="005E0E6C" w:rsidRDefault="00D35D6D" w:rsidP="002000FC">
      <w:pPr>
        <w:jc w:val="center"/>
        <w:rPr>
          <w:rFonts w:eastAsia="微软雅黑"/>
          <w:szCs w:val="18"/>
          <w:lang w:eastAsia="zh-CN"/>
        </w:rPr>
      </w:pPr>
      <w:r>
        <w:rPr>
          <w:noProof/>
          <w:lang w:eastAsia="zh-CN"/>
        </w:rPr>
        <w:drawing>
          <wp:inline distT="0" distB="0" distL="0" distR="0" wp14:anchorId="2D8D4E02" wp14:editId="53B7225D">
            <wp:extent cx="2934269" cy="2695433"/>
            <wp:effectExtent l="0" t="0" r="0" b="1016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5CEB17F" w14:textId="34A6F884" w:rsidR="005E0E6C" w:rsidRDefault="005E0E6C" w:rsidP="005E0E6C">
      <w:pPr>
        <w:jc w:val="center"/>
        <w:rPr>
          <w:rFonts w:ascii="Arial" w:eastAsia="微软雅黑" w:hAnsi="Arial" w:cs="Arial"/>
          <w:szCs w:val="18"/>
          <w:lang w:eastAsia="zh-CN"/>
        </w:rPr>
      </w:pPr>
      <w:r w:rsidRPr="008052AA">
        <w:rPr>
          <w:rFonts w:ascii="Arial" w:eastAsia="微软雅黑" w:hAnsi="Arial" w:cs="Arial" w:hint="eastAsia"/>
          <w:b/>
          <w:szCs w:val="18"/>
          <w:lang w:eastAsia="zh-CN"/>
        </w:rPr>
        <w:t xml:space="preserve">Figure </w:t>
      </w:r>
      <w:r w:rsidR="003A6416">
        <w:rPr>
          <w:rFonts w:ascii="Arial" w:eastAsia="微软雅黑" w:hAnsi="Arial" w:cs="Arial"/>
          <w:b/>
          <w:szCs w:val="18"/>
          <w:lang w:eastAsia="zh-CN"/>
        </w:rPr>
        <w:t>9</w:t>
      </w:r>
      <w:r w:rsidR="00062BA5">
        <w:rPr>
          <w:rFonts w:ascii="Arial" w:eastAsia="微软雅黑" w:hAnsi="Arial" w:cs="Arial"/>
          <w:b/>
          <w:szCs w:val="18"/>
          <w:lang w:eastAsia="zh-CN"/>
        </w:rPr>
        <w:t>.</w:t>
      </w:r>
      <w:r w:rsidR="008009CA">
        <w:rPr>
          <w:rFonts w:ascii="Arial" w:eastAsia="微软雅黑" w:hAnsi="Arial" w:cs="Arial" w:hint="eastAsia"/>
          <w:szCs w:val="18"/>
          <w:lang w:eastAsia="zh-CN"/>
        </w:rPr>
        <w:t xml:space="preserve"> Color </w:t>
      </w:r>
      <w:r w:rsidR="008009CA">
        <w:rPr>
          <w:rFonts w:ascii="Arial" w:eastAsia="微软雅黑" w:hAnsi="Arial" w:cs="Arial"/>
          <w:szCs w:val="18"/>
          <w:lang w:eastAsia="zh-CN"/>
        </w:rPr>
        <w:t>c</w:t>
      </w:r>
      <w:r w:rsidR="008009CA">
        <w:rPr>
          <w:rFonts w:ascii="Arial" w:eastAsia="微软雅黑" w:hAnsi="Arial" w:cs="Arial" w:hint="eastAsia"/>
          <w:szCs w:val="18"/>
          <w:lang w:eastAsia="zh-CN"/>
        </w:rPr>
        <w:t xml:space="preserve">oordinate </w:t>
      </w:r>
      <w:r w:rsidR="008009CA">
        <w:rPr>
          <w:rFonts w:ascii="Arial" w:eastAsia="微软雅黑" w:hAnsi="Arial" w:cs="Arial"/>
          <w:szCs w:val="18"/>
          <w:lang w:eastAsia="zh-CN"/>
        </w:rPr>
        <w:t>s</w:t>
      </w:r>
      <w:r w:rsidR="008009CA">
        <w:rPr>
          <w:rFonts w:ascii="Arial" w:eastAsia="微软雅黑" w:hAnsi="Arial" w:cs="Arial" w:hint="eastAsia"/>
          <w:szCs w:val="18"/>
          <w:lang w:eastAsia="zh-CN"/>
        </w:rPr>
        <w:t>hift of 2nit-</w:t>
      </w:r>
      <w:r w:rsidR="008009CA">
        <w:rPr>
          <w:rFonts w:ascii="Arial" w:eastAsia="微软雅黑" w:hAnsi="Arial" w:cs="Arial"/>
          <w:szCs w:val="18"/>
          <w:lang w:eastAsia="zh-CN"/>
        </w:rPr>
        <w:t>w</w:t>
      </w:r>
      <w:r w:rsidR="008009CA">
        <w:rPr>
          <w:rFonts w:ascii="Arial" w:eastAsia="微软雅黑" w:hAnsi="Arial" w:cs="Arial" w:hint="eastAsia"/>
          <w:szCs w:val="18"/>
          <w:lang w:eastAsia="zh-CN"/>
        </w:rPr>
        <w:t xml:space="preserve">32 </w:t>
      </w:r>
      <w:r w:rsidR="008009CA">
        <w:rPr>
          <w:rFonts w:ascii="Arial" w:eastAsia="微软雅黑" w:hAnsi="Arial" w:cs="Arial"/>
          <w:szCs w:val="18"/>
          <w:lang w:eastAsia="zh-CN"/>
        </w:rPr>
        <w:t>b</w:t>
      </w:r>
      <w:r w:rsidR="008009CA">
        <w:rPr>
          <w:rFonts w:ascii="Arial" w:eastAsia="微软雅黑" w:hAnsi="Arial" w:cs="Arial" w:hint="eastAsia"/>
          <w:szCs w:val="18"/>
          <w:lang w:eastAsia="zh-CN"/>
        </w:rPr>
        <w:t xml:space="preserve">efore and </w:t>
      </w:r>
      <w:r w:rsidR="008009CA">
        <w:rPr>
          <w:rFonts w:ascii="Arial" w:eastAsia="微软雅黑" w:hAnsi="Arial" w:cs="Arial"/>
          <w:szCs w:val="18"/>
          <w:lang w:eastAsia="zh-CN"/>
        </w:rPr>
        <w:t>a</w:t>
      </w:r>
      <w:r w:rsidR="008009CA">
        <w:rPr>
          <w:rFonts w:ascii="Arial" w:eastAsia="微软雅黑" w:hAnsi="Arial" w:cs="Arial" w:hint="eastAsia"/>
          <w:szCs w:val="18"/>
          <w:lang w:eastAsia="zh-CN"/>
        </w:rPr>
        <w:t xml:space="preserve">fter </w:t>
      </w:r>
      <w:r w:rsidR="008009CA">
        <w:rPr>
          <w:rFonts w:ascii="Arial" w:eastAsia="微软雅黑" w:hAnsi="Arial" w:cs="Arial"/>
          <w:szCs w:val="18"/>
          <w:lang w:eastAsia="zh-CN"/>
        </w:rPr>
        <w:t>e</w:t>
      </w:r>
      <w:r w:rsidR="008009CA">
        <w:rPr>
          <w:rFonts w:ascii="Arial" w:eastAsia="微软雅黑" w:hAnsi="Arial" w:cs="Arial" w:hint="eastAsia"/>
          <w:szCs w:val="18"/>
          <w:lang w:eastAsia="zh-CN"/>
        </w:rPr>
        <w:t xml:space="preserve">lectric </w:t>
      </w:r>
      <w:r w:rsidR="008009CA">
        <w:rPr>
          <w:rFonts w:ascii="Arial" w:eastAsia="微软雅黑" w:hAnsi="Arial" w:cs="Arial"/>
          <w:szCs w:val="18"/>
          <w:lang w:eastAsia="zh-CN"/>
        </w:rPr>
        <w:t>f</w:t>
      </w:r>
      <w:r w:rsidR="008009CA">
        <w:rPr>
          <w:rFonts w:ascii="Arial" w:eastAsia="微软雅黑" w:hAnsi="Arial" w:cs="Arial" w:hint="eastAsia"/>
          <w:szCs w:val="18"/>
          <w:lang w:eastAsia="zh-CN"/>
        </w:rPr>
        <w:t xml:space="preserve">ield </w:t>
      </w:r>
      <w:r w:rsidR="008009CA">
        <w:rPr>
          <w:rFonts w:ascii="Arial" w:eastAsia="微软雅黑" w:hAnsi="Arial" w:cs="Arial"/>
          <w:szCs w:val="18"/>
          <w:lang w:eastAsia="zh-CN"/>
        </w:rPr>
        <w:t>t</w:t>
      </w:r>
      <w:r w:rsidRPr="008052AA">
        <w:rPr>
          <w:rFonts w:ascii="Arial" w:eastAsia="微软雅黑" w:hAnsi="Arial" w:cs="Arial" w:hint="eastAsia"/>
          <w:szCs w:val="18"/>
          <w:lang w:eastAsia="zh-CN"/>
        </w:rPr>
        <w:t>esting</w:t>
      </w:r>
    </w:p>
    <w:p w14:paraId="0DF615A9" w14:textId="77777777" w:rsidR="00083BE6" w:rsidRPr="008052AA" w:rsidRDefault="00083BE6" w:rsidP="005E0E6C">
      <w:pPr>
        <w:jc w:val="center"/>
        <w:rPr>
          <w:rFonts w:ascii="Arial" w:eastAsia="微软雅黑" w:hAnsi="Arial" w:cs="Arial"/>
          <w:szCs w:val="18"/>
          <w:lang w:eastAsia="zh-CN"/>
        </w:rPr>
      </w:pPr>
    </w:p>
    <w:p w14:paraId="7EB6B3ED" w14:textId="01877B14" w:rsidR="0049182D" w:rsidRPr="0084437E" w:rsidRDefault="00263181" w:rsidP="0084437E">
      <w:pPr>
        <w:pStyle w:val="1"/>
        <w:numPr>
          <w:ilvl w:val="0"/>
          <w:numId w:val="2"/>
        </w:numPr>
        <w:tabs>
          <w:tab w:val="clear" w:pos="2203"/>
          <w:tab w:val="num" w:pos="360"/>
        </w:tabs>
        <w:ind w:left="360"/>
        <w:rPr>
          <w:rFonts w:ascii="Arial" w:eastAsia="微软雅黑" w:hAnsi="Arial" w:cs="Arial"/>
          <w:sz w:val="20"/>
          <w:lang w:eastAsia="zh-CN"/>
        </w:rPr>
      </w:pPr>
      <w:r>
        <w:rPr>
          <w:rFonts w:ascii="Arial" w:eastAsia="微软雅黑" w:hAnsi="Arial" w:cs="Arial"/>
          <w:sz w:val="20"/>
          <w:lang w:eastAsia="zh-CN"/>
        </w:rPr>
        <w:t>Conclusion</w:t>
      </w:r>
    </w:p>
    <w:p w14:paraId="2CAD6C94" w14:textId="1404BAB5" w:rsidR="002000FC" w:rsidRPr="002000FC" w:rsidRDefault="002000FC" w:rsidP="00612A63">
      <w:pPr>
        <w:rPr>
          <w:rFonts w:eastAsia="微软雅黑"/>
          <w:szCs w:val="18"/>
          <w:lang w:eastAsia="zh-CN"/>
        </w:rPr>
      </w:pPr>
      <w:r w:rsidRPr="002000FC">
        <w:rPr>
          <w:rFonts w:eastAsia="微软雅黑" w:hint="eastAsia"/>
          <w:szCs w:val="18"/>
          <w:lang w:eastAsia="zh-CN"/>
        </w:rPr>
        <w:t>This paper investigated the anti-electrostatic field performance of AMOLED modules, covering testing methods, failure mechanisms, and improvement measures. A high-voltage DC excitation field test method was proposed to enhance testing efficiency and reduce test duration. The final characterization results of this method align with those of the conventional electrostatic friction test, while improving the failure excitation efficiency. Furthermore, the failure mechanisms behind the greenish display and flickering induced by the electrostatic field were explained. These are attributed to charge migration from the CG surface into the BPF during testing, leading to an endogenous electric field within the PI layer, which ultimately causes</w:t>
      </w:r>
      <w:r w:rsidR="006C2D49">
        <w:rPr>
          <w:rFonts w:eastAsia="微软雅黑" w:hint="eastAsia"/>
          <w:szCs w:val="18"/>
          <w:lang w:eastAsia="zh-CN"/>
        </w:rPr>
        <w:t xml:space="preserve"> shifts in TFT parameters (Vth</w:t>
      </w:r>
      <w:r w:rsidR="006C2D49">
        <w:rPr>
          <w:rFonts w:eastAsia="微软雅黑"/>
          <w:szCs w:val="18"/>
          <w:lang w:eastAsia="zh-CN"/>
        </w:rPr>
        <w:t xml:space="preserve">, </w:t>
      </w:r>
      <w:r w:rsidRPr="002000FC">
        <w:rPr>
          <w:rFonts w:eastAsia="微软雅黑" w:hint="eastAsia"/>
          <w:szCs w:val="18"/>
          <w:lang w:eastAsia="zh-CN"/>
        </w:rPr>
        <w:t>SS</w:t>
      </w:r>
      <w:r w:rsidR="007D469C">
        <w:rPr>
          <w:rFonts w:eastAsia="微软雅黑"/>
          <w:szCs w:val="18"/>
          <w:lang w:eastAsia="zh-CN"/>
        </w:rPr>
        <w:t>.</w:t>
      </w:r>
      <w:r w:rsidRPr="002000FC">
        <w:rPr>
          <w:rFonts w:eastAsia="微软雅黑" w:hint="eastAsia"/>
          <w:szCs w:val="18"/>
          <w:lang w:eastAsia="zh-CN"/>
        </w:rPr>
        <w:t>), resulting in failures. Based on the failure mechanism, several improvement strategies for both the panel and module were proposed. For the panel, incorporating a BSM within the inorganic barrier layer beneath the TFT can shield the electric field. Simultaneously, optimizing the deposition process of the 3L film stack enhances film quality. Increasing the impedance of materials like PI and BPF at the panel level is also effective. For the module, process improvements such as optimizing monolithic cutting parameters and applying silver paste can enhance anti-electrostatic field capability.</w:t>
      </w:r>
    </w:p>
    <w:p w14:paraId="62882CE5" w14:textId="77777777" w:rsidR="000B341D" w:rsidRPr="0084437E" w:rsidRDefault="000B341D" w:rsidP="0084437E">
      <w:pPr>
        <w:pStyle w:val="1"/>
        <w:numPr>
          <w:ilvl w:val="0"/>
          <w:numId w:val="2"/>
        </w:numPr>
        <w:tabs>
          <w:tab w:val="clear" w:pos="2203"/>
          <w:tab w:val="num" w:pos="360"/>
        </w:tabs>
        <w:ind w:left="360"/>
        <w:rPr>
          <w:rFonts w:ascii="Arial" w:eastAsia="微软雅黑" w:hAnsi="Arial" w:cs="Arial"/>
          <w:sz w:val="20"/>
          <w:lang w:eastAsia="zh-CN"/>
        </w:rPr>
      </w:pPr>
      <w:r w:rsidRPr="0084437E">
        <w:rPr>
          <w:rFonts w:ascii="Arial" w:eastAsia="微软雅黑" w:hAnsi="Arial" w:cs="Arial"/>
          <w:sz w:val="20"/>
          <w:lang w:eastAsia="zh-CN"/>
        </w:rPr>
        <w:t>References</w:t>
      </w:r>
    </w:p>
    <w:p w14:paraId="33DCE926" w14:textId="6921ED82" w:rsidR="00682071" w:rsidRPr="00682071" w:rsidRDefault="00A134CA" w:rsidP="00846548">
      <w:pPr>
        <w:pStyle w:val="ab"/>
        <w:numPr>
          <w:ilvl w:val="0"/>
          <w:numId w:val="20"/>
        </w:numPr>
        <w:jc w:val="both"/>
        <w:rPr>
          <w:rFonts w:ascii="Times New Roman" w:hAnsi="Times New Roman" w:cs="Times New Roman"/>
          <w:color w:val="333333"/>
          <w:sz w:val="18"/>
          <w:szCs w:val="18"/>
          <w:shd w:val="clear" w:color="auto" w:fill="FFFFFF"/>
        </w:rPr>
      </w:pPr>
      <w:r w:rsidRPr="00682071">
        <w:rPr>
          <w:rFonts w:ascii="Times New Roman" w:hAnsi="Times New Roman" w:cs="Times New Roman"/>
          <w:color w:val="333333"/>
          <w:sz w:val="18"/>
          <w:szCs w:val="18"/>
          <w:shd w:val="clear" w:color="auto" w:fill="FFFFFF"/>
        </w:rPr>
        <w:t>Duvvury</w:t>
      </w:r>
      <w:r w:rsidR="00B02E63">
        <w:rPr>
          <w:rFonts w:ascii="Times New Roman" w:hAnsi="Times New Roman" w:cs="Times New Roman"/>
          <w:color w:val="333333"/>
          <w:sz w:val="18"/>
          <w:szCs w:val="18"/>
          <w:shd w:val="clear" w:color="auto" w:fill="FFFFFF"/>
        </w:rPr>
        <w:t xml:space="preserve"> </w:t>
      </w:r>
      <w:r w:rsidR="00B02E63" w:rsidRPr="00682071">
        <w:rPr>
          <w:rFonts w:ascii="Times New Roman" w:hAnsi="Times New Roman" w:cs="Times New Roman"/>
          <w:color w:val="333333"/>
          <w:sz w:val="18"/>
          <w:szCs w:val="18"/>
          <w:shd w:val="clear" w:color="auto" w:fill="FFFFFF"/>
        </w:rPr>
        <w:t>C.</w:t>
      </w:r>
      <w:r w:rsidRPr="00682071">
        <w:rPr>
          <w:rFonts w:ascii="Times New Roman" w:eastAsiaTheme="minorEastAsia" w:hAnsi="Times New Roman" w:cs="Times New Roman"/>
          <w:color w:val="333333"/>
          <w:sz w:val="18"/>
          <w:szCs w:val="18"/>
          <w:shd w:val="clear" w:color="auto" w:fill="FFFFFF"/>
          <w:lang w:eastAsia="zh-CN"/>
        </w:rPr>
        <w:t xml:space="preserve">, </w:t>
      </w:r>
      <w:r w:rsidR="00124069" w:rsidRPr="00682071">
        <w:rPr>
          <w:rFonts w:ascii="Times New Roman" w:hAnsi="Times New Roman" w:cs="Times New Roman"/>
          <w:color w:val="333333"/>
          <w:sz w:val="18"/>
          <w:szCs w:val="18"/>
          <w:shd w:val="clear" w:color="auto" w:fill="FFFFFF"/>
        </w:rPr>
        <w:t>Advanced Electrostat</w:t>
      </w:r>
      <w:r w:rsidR="00083BE6" w:rsidRPr="00682071">
        <w:rPr>
          <w:rFonts w:ascii="Times New Roman" w:hAnsi="Times New Roman" w:cs="Times New Roman"/>
          <w:color w:val="333333"/>
          <w:sz w:val="18"/>
          <w:szCs w:val="18"/>
          <w:shd w:val="clear" w:color="auto" w:fill="FFFFFF"/>
        </w:rPr>
        <w:t>ic Discharge Technology Issues,</w:t>
      </w:r>
      <w:r w:rsidR="00124069" w:rsidRPr="00682071">
        <w:rPr>
          <w:rFonts w:ascii="Times New Roman" w:hAnsi="Times New Roman" w:cs="Times New Roman"/>
          <w:color w:val="333333"/>
          <w:sz w:val="18"/>
          <w:szCs w:val="18"/>
          <w:shd w:val="clear" w:color="auto" w:fill="FFFFFF"/>
        </w:rPr>
        <w:t xml:space="preserve"> in Proc. CCE 2025, Mexico City, Mexico, Oct. 2025.</w:t>
      </w:r>
    </w:p>
    <w:p w14:paraId="47E75916" w14:textId="6C017635" w:rsidR="00682071" w:rsidRPr="00682071" w:rsidRDefault="00F22D18" w:rsidP="00846548">
      <w:pPr>
        <w:pStyle w:val="ab"/>
        <w:numPr>
          <w:ilvl w:val="0"/>
          <w:numId w:val="20"/>
        </w:numPr>
        <w:jc w:val="both"/>
        <w:rPr>
          <w:rFonts w:ascii="Times New Roman" w:hAnsi="Times New Roman" w:cs="Times New Roman"/>
          <w:color w:val="333333"/>
          <w:sz w:val="18"/>
          <w:szCs w:val="18"/>
          <w:shd w:val="clear" w:color="auto" w:fill="FFFFFF"/>
        </w:rPr>
      </w:pPr>
      <w:r>
        <w:rPr>
          <w:rFonts w:ascii="Times New Roman" w:hAnsi="Times New Roman" w:cs="Times New Roman"/>
          <w:color w:val="333333"/>
          <w:sz w:val="18"/>
          <w:szCs w:val="18"/>
          <w:shd w:val="clear" w:color="auto" w:fill="FFFFFF"/>
        </w:rPr>
        <w:t xml:space="preserve">Kim, J., Lee, S., and Park, H. </w:t>
      </w:r>
      <w:r w:rsidR="00682071" w:rsidRPr="00682071">
        <w:rPr>
          <w:rFonts w:ascii="Times New Roman" w:hAnsi="Times New Roman" w:cs="Times New Roman"/>
          <w:color w:val="333333"/>
          <w:sz w:val="18"/>
          <w:szCs w:val="18"/>
          <w:shd w:val="clear" w:color="auto" w:fill="FFFFFF"/>
        </w:rPr>
        <w:t>A Study on the Optimization of Bottom Light-Shield for the Improvement of Negative Bias Illumination Stress Stability in Amorphous</w:t>
      </w:r>
      <w:r>
        <w:rPr>
          <w:rFonts w:ascii="Times New Roman" w:hAnsi="Times New Roman" w:cs="Times New Roman"/>
          <w:color w:val="333333"/>
          <w:sz w:val="18"/>
          <w:szCs w:val="18"/>
          <w:shd w:val="clear" w:color="auto" w:fill="FFFFFF"/>
        </w:rPr>
        <w:t xml:space="preserve"> InGaZnO Thin-Film Transistors.</w:t>
      </w:r>
      <w:r w:rsidR="00682071" w:rsidRPr="00682071">
        <w:rPr>
          <w:rFonts w:ascii="Times New Roman" w:hAnsi="Times New Roman" w:cs="Times New Roman"/>
          <w:color w:val="333333"/>
          <w:sz w:val="18"/>
          <w:szCs w:val="18"/>
          <w:shd w:val="clear" w:color="auto" w:fill="FFFFFF"/>
        </w:rPr>
        <w:t xml:space="preserve"> SID Symposium Digest of Technical Papers, vol. 52, no. 1, 2021, pp. 556-559.</w:t>
      </w:r>
    </w:p>
    <w:p w14:paraId="47ECFFA5" w14:textId="77777777" w:rsidR="007B5FA0" w:rsidRDefault="00975963" w:rsidP="00846548">
      <w:pPr>
        <w:pStyle w:val="ab"/>
        <w:numPr>
          <w:ilvl w:val="0"/>
          <w:numId w:val="20"/>
        </w:numPr>
        <w:jc w:val="both"/>
        <w:rPr>
          <w:rFonts w:ascii="Times New Roman" w:hAnsi="Times New Roman" w:cs="Times New Roman"/>
          <w:color w:val="333333"/>
          <w:sz w:val="18"/>
          <w:szCs w:val="18"/>
          <w:shd w:val="clear" w:color="auto" w:fill="FFFFFF"/>
        </w:rPr>
        <w:sectPr w:rsidR="007B5FA0" w:rsidSect="0014033B">
          <w:type w:val="continuous"/>
          <w:pgSz w:w="12240" w:h="15840" w:code="1"/>
          <w:pgMar w:top="1224" w:right="1080" w:bottom="1440" w:left="1080" w:header="720" w:footer="576" w:gutter="0"/>
          <w:cols w:num="2" w:space="490"/>
          <w:titlePg/>
          <w:docGrid w:linePitch="360"/>
        </w:sectPr>
      </w:pPr>
      <w:r w:rsidRPr="00682071">
        <w:rPr>
          <w:rFonts w:ascii="Times New Roman" w:hAnsi="Times New Roman" w:cs="Times New Roman"/>
          <w:color w:val="333333"/>
          <w:sz w:val="18"/>
          <w:szCs w:val="18"/>
          <w:shd w:val="clear" w:color="auto" w:fill="FFFFFF"/>
        </w:rPr>
        <w:t>Shen</w:t>
      </w:r>
      <w:r w:rsidR="00B02E63">
        <w:rPr>
          <w:rFonts w:ascii="Times New Roman" w:hAnsi="Times New Roman" w:cs="Times New Roman"/>
          <w:color w:val="333333"/>
          <w:sz w:val="18"/>
          <w:szCs w:val="18"/>
          <w:shd w:val="clear" w:color="auto" w:fill="FFFFFF"/>
        </w:rPr>
        <w:t xml:space="preserve"> Y.</w:t>
      </w:r>
      <w:r w:rsidRPr="00682071">
        <w:rPr>
          <w:rFonts w:ascii="Times New Roman" w:hAnsi="Times New Roman" w:cs="Times New Roman"/>
          <w:color w:val="333333"/>
          <w:sz w:val="18"/>
          <w:szCs w:val="18"/>
          <w:shd w:val="clear" w:color="auto" w:fill="FFFFFF"/>
        </w:rPr>
        <w:t>, Liu</w:t>
      </w:r>
      <w:r w:rsidR="00B02E63">
        <w:rPr>
          <w:rFonts w:ascii="Times New Roman" w:hAnsi="Times New Roman" w:cs="Times New Roman"/>
          <w:color w:val="333333"/>
          <w:sz w:val="18"/>
          <w:szCs w:val="18"/>
          <w:shd w:val="clear" w:color="auto" w:fill="FFFFFF"/>
        </w:rPr>
        <w:t xml:space="preserve"> </w:t>
      </w:r>
      <w:r w:rsidR="00B02E63" w:rsidRPr="00682071">
        <w:rPr>
          <w:rFonts w:ascii="Times New Roman" w:hAnsi="Times New Roman" w:cs="Times New Roman"/>
          <w:color w:val="333333"/>
          <w:sz w:val="18"/>
          <w:szCs w:val="18"/>
          <w:shd w:val="clear" w:color="auto" w:fill="FFFFFF"/>
        </w:rPr>
        <w:t>X.</w:t>
      </w:r>
      <w:r w:rsidR="008B5565">
        <w:rPr>
          <w:rFonts w:ascii="Times New Roman" w:hAnsi="Times New Roman" w:cs="Times New Roman"/>
          <w:color w:val="333333"/>
          <w:sz w:val="18"/>
          <w:szCs w:val="18"/>
          <w:shd w:val="clear" w:color="auto" w:fill="FFFFFF"/>
        </w:rPr>
        <w:t xml:space="preserve">, </w:t>
      </w:r>
      <w:r w:rsidR="00083BE6" w:rsidRPr="00682071">
        <w:rPr>
          <w:rFonts w:ascii="Times New Roman" w:hAnsi="Times New Roman" w:cs="Times New Roman"/>
          <w:color w:val="333333"/>
          <w:sz w:val="18"/>
          <w:szCs w:val="18"/>
          <w:shd w:val="clear" w:color="auto" w:fill="FFFFFF"/>
        </w:rPr>
        <w:t>Guo</w:t>
      </w:r>
      <w:r w:rsidR="00B02E63">
        <w:rPr>
          <w:rFonts w:ascii="Times New Roman" w:hAnsi="Times New Roman" w:cs="Times New Roman"/>
          <w:color w:val="333333"/>
          <w:sz w:val="18"/>
          <w:szCs w:val="18"/>
          <w:shd w:val="clear" w:color="auto" w:fill="FFFFFF"/>
        </w:rPr>
        <w:t xml:space="preserve"> </w:t>
      </w:r>
      <w:r w:rsidR="008B5565">
        <w:rPr>
          <w:rFonts w:ascii="Times New Roman" w:hAnsi="Times New Roman" w:cs="Times New Roman"/>
          <w:color w:val="333333"/>
          <w:sz w:val="18"/>
          <w:szCs w:val="18"/>
          <w:shd w:val="clear" w:color="auto" w:fill="FFFFFF"/>
        </w:rPr>
        <w:t xml:space="preserve"> </w:t>
      </w:r>
      <w:r w:rsidR="00B02E63" w:rsidRPr="00682071">
        <w:rPr>
          <w:rFonts w:ascii="Times New Roman" w:hAnsi="Times New Roman" w:cs="Times New Roman"/>
          <w:color w:val="333333"/>
          <w:sz w:val="18"/>
          <w:szCs w:val="18"/>
          <w:shd w:val="clear" w:color="auto" w:fill="FFFFFF"/>
        </w:rPr>
        <w:t>X.</w:t>
      </w:r>
      <w:r w:rsidR="00083BE6" w:rsidRPr="00682071">
        <w:rPr>
          <w:rFonts w:ascii="Times New Roman" w:hAnsi="Times New Roman" w:cs="Times New Roman"/>
          <w:color w:val="333333"/>
          <w:sz w:val="18"/>
          <w:szCs w:val="18"/>
          <w:shd w:val="clear" w:color="auto" w:fill="FFFFFF"/>
        </w:rPr>
        <w:t>, Zhang</w:t>
      </w:r>
      <w:r w:rsidR="00B02E63" w:rsidRPr="00B02E63">
        <w:rPr>
          <w:rFonts w:ascii="Times New Roman" w:hAnsi="Times New Roman" w:cs="Times New Roman"/>
          <w:color w:val="333333"/>
          <w:sz w:val="18"/>
          <w:szCs w:val="18"/>
          <w:shd w:val="clear" w:color="auto" w:fill="FFFFFF"/>
        </w:rPr>
        <w:t xml:space="preserve"> </w:t>
      </w:r>
      <w:r w:rsidR="00B02E63" w:rsidRPr="00682071">
        <w:rPr>
          <w:rFonts w:ascii="Times New Roman" w:hAnsi="Times New Roman" w:cs="Times New Roman"/>
          <w:color w:val="333333"/>
          <w:sz w:val="18"/>
          <w:szCs w:val="18"/>
          <w:shd w:val="clear" w:color="auto" w:fill="FFFFFF"/>
        </w:rPr>
        <w:t>W.</w:t>
      </w:r>
      <w:r w:rsidR="00083BE6" w:rsidRPr="00682071">
        <w:rPr>
          <w:rFonts w:ascii="Times New Roman" w:hAnsi="Times New Roman" w:cs="Times New Roman"/>
          <w:color w:val="333333"/>
          <w:sz w:val="18"/>
          <w:szCs w:val="18"/>
          <w:shd w:val="clear" w:color="auto" w:fill="FFFFFF"/>
        </w:rPr>
        <w:t>, and</w:t>
      </w:r>
      <w:r w:rsidR="008B5565">
        <w:rPr>
          <w:rFonts w:ascii="Times New Roman" w:hAnsi="Times New Roman" w:cs="Times New Roman"/>
          <w:color w:val="333333"/>
          <w:sz w:val="18"/>
          <w:szCs w:val="18"/>
          <w:shd w:val="clear" w:color="auto" w:fill="FFFFFF"/>
        </w:rPr>
        <w:t xml:space="preserve"> </w:t>
      </w:r>
      <w:r w:rsidR="00083BE6" w:rsidRPr="00682071">
        <w:rPr>
          <w:rFonts w:ascii="Times New Roman" w:hAnsi="Times New Roman" w:cs="Times New Roman"/>
          <w:color w:val="333333"/>
          <w:sz w:val="18"/>
          <w:szCs w:val="18"/>
          <w:shd w:val="clear" w:color="auto" w:fill="FFFFFF"/>
        </w:rPr>
        <w:t>Zhu</w:t>
      </w:r>
      <w:r w:rsidR="00B02E63">
        <w:rPr>
          <w:rFonts w:ascii="Times New Roman" w:hAnsi="Times New Roman" w:cs="Times New Roman"/>
          <w:color w:val="333333"/>
          <w:sz w:val="18"/>
          <w:szCs w:val="18"/>
          <w:shd w:val="clear" w:color="auto" w:fill="FFFFFF"/>
        </w:rPr>
        <w:t xml:space="preserve"> </w:t>
      </w:r>
      <w:r w:rsidR="00B02E63" w:rsidRPr="00682071">
        <w:rPr>
          <w:rFonts w:ascii="Times New Roman" w:hAnsi="Times New Roman" w:cs="Times New Roman"/>
          <w:color w:val="333333"/>
          <w:sz w:val="18"/>
          <w:szCs w:val="18"/>
          <w:shd w:val="clear" w:color="auto" w:fill="FFFFFF"/>
        </w:rPr>
        <w:t>X.</w:t>
      </w:r>
      <w:r w:rsidR="00083BE6" w:rsidRPr="00682071">
        <w:rPr>
          <w:rFonts w:ascii="Times New Roman" w:hAnsi="Times New Roman" w:cs="Times New Roman"/>
          <w:color w:val="333333"/>
          <w:sz w:val="18"/>
          <w:szCs w:val="18"/>
          <w:shd w:val="clear" w:color="auto" w:fill="FFFFFF"/>
        </w:rPr>
        <w:t xml:space="preserve">, </w:t>
      </w:r>
      <w:r w:rsidRPr="00682071">
        <w:rPr>
          <w:rFonts w:ascii="Times New Roman" w:hAnsi="Times New Roman" w:cs="Times New Roman"/>
          <w:color w:val="333333"/>
          <w:sz w:val="18"/>
          <w:szCs w:val="18"/>
          <w:shd w:val="clear" w:color="auto" w:fill="FFFFFF"/>
        </w:rPr>
        <w:t xml:space="preserve">P‐1.1: The Back‐channel Effect in Low Temperature </w:t>
      </w:r>
      <w:r w:rsidR="00083BE6" w:rsidRPr="00682071">
        <w:rPr>
          <w:rFonts w:ascii="Times New Roman" w:hAnsi="Times New Roman" w:cs="Times New Roman"/>
          <w:color w:val="333333"/>
          <w:sz w:val="18"/>
          <w:szCs w:val="18"/>
          <w:shd w:val="clear" w:color="auto" w:fill="FFFFFF"/>
        </w:rPr>
        <w:t xml:space="preserve">Poly‐Si Thin Film Transistors, </w:t>
      </w:r>
      <w:r w:rsidRPr="00682071">
        <w:rPr>
          <w:rFonts w:ascii="Times New Roman" w:hAnsi="Times New Roman" w:cs="Times New Roman"/>
          <w:color w:val="333333"/>
          <w:sz w:val="18"/>
          <w:szCs w:val="18"/>
          <w:shd w:val="clear" w:color="auto" w:fill="FFFFFF"/>
        </w:rPr>
        <w:t>SID Symposium Digest of Technical Papers, 2024.</w:t>
      </w:r>
    </w:p>
    <w:p w14:paraId="34F0CA94" w14:textId="4705E347" w:rsidR="00975963" w:rsidRPr="007B5FA0" w:rsidRDefault="00975963" w:rsidP="007B5FA0">
      <w:pPr>
        <w:rPr>
          <w:rFonts w:eastAsia="Malgun Gothic"/>
          <w:color w:val="333333"/>
          <w:szCs w:val="18"/>
          <w:shd w:val="clear" w:color="auto" w:fill="FFFFFF"/>
        </w:rPr>
      </w:pPr>
    </w:p>
    <w:sectPr w:rsidR="00975963" w:rsidRPr="007B5FA0" w:rsidSect="0014033B">
      <w:type w:val="continuous"/>
      <w:pgSz w:w="12240" w:h="15840" w:code="1"/>
      <w:pgMar w:top="1224" w:right="1080" w:bottom="1440" w:left="1080" w:header="720" w:footer="576" w:gutter="0"/>
      <w:cols w:num="2" w:space="49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CB209" w14:textId="77777777" w:rsidR="000D2479" w:rsidRDefault="000D2479">
      <w:r>
        <w:separator/>
      </w:r>
    </w:p>
  </w:endnote>
  <w:endnote w:type="continuationSeparator" w:id="0">
    <w:p w14:paraId="35B37869" w14:textId="77777777" w:rsidR="000D2479" w:rsidRDefault="000D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6598D" w14:textId="77777777" w:rsidR="004933BF" w:rsidRDefault="004933B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AD5D" w14:textId="46358E49" w:rsidR="005F156D" w:rsidRPr="00F05420" w:rsidRDefault="005F156D" w:rsidP="005F156D">
    <w:pPr>
      <w:pStyle w:val="a6"/>
      <w:spacing w:after="0"/>
      <w:rPr>
        <w:rFonts w:ascii="Arial" w:hAnsi="Arial" w:cs="Arial"/>
        <w:b/>
        <w:i/>
        <w:color w:val="FF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D9AA7" w14:textId="718F627B" w:rsidR="005F156D" w:rsidRDefault="005F156D" w:rsidP="005F156D">
    <w:pPr>
      <w:pStyle w:val="a6"/>
      <w:spacing w:after="0"/>
      <w:rPr>
        <w:rFonts w:ascii="Arial" w:hAnsi="Arial" w:cs="Arial"/>
        <w:b/>
        <w:i/>
        <w:color w:val="FF0000"/>
      </w:rPr>
    </w:pPr>
  </w:p>
  <w:p w14:paraId="24C20331" w14:textId="77777777" w:rsidR="00DF2738" w:rsidRPr="007E1968" w:rsidRDefault="00DF2738" w:rsidP="005F156D">
    <w:pPr>
      <w:pStyle w:val="a6"/>
      <w:spacing w:after="0"/>
      <w:rPr>
        <w:rFonts w:ascii="Arial" w:hAnsi="Arial" w:cs="Arial"/>
        <w:b/>
        <w:i/>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64D91" w14:textId="77777777" w:rsidR="000D2479" w:rsidRDefault="000D2479">
      <w:r>
        <w:separator/>
      </w:r>
    </w:p>
  </w:footnote>
  <w:footnote w:type="continuationSeparator" w:id="0">
    <w:p w14:paraId="336D51F1" w14:textId="77777777" w:rsidR="000D2479" w:rsidRDefault="000D2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6B5F4" w14:textId="77777777" w:rsidR="004933BF" w:rsidRDefault="004933B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AD0A0" w14:textId="4201480A" w:rsidR="005F156D" w:rsidRPr="00F05420" w:rsidRDefault="004933BF">
    <w:pPr>
      <w:pStyle w:val="a5"/>
      <w:rPr>
        <w:color w:val="FF0000"/>
      </w:rPr>
    </w:pPr>
    <w:r>
      <w:rPr>
        <w:rFonts w:ascii="Arial" w:hAnsi="Arial"/>
        <w:i/>
        <w:noProof/>
        <w:color w:val="FF0000"/>
        <w:sz w:val="24"/>
        <w:lang w:eastAsia="zh-CN"/>
      </w:rPr>
      <w:pict w14:anchorId="53A15E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left:0;text-align:left;margin-left:0;margin-top:0;width:712.75pt;height:71.3pt;rotation:-45;z-index:251658240;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v0064910 企业机密"/>
          <o:lock v:ext="edit" aspectratio="t"/>
          <w10:wrap side="largest"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6F17" w14:textId="24CAB6BD" w:rsidR="005F156D" w:rsidRPr="001204E5" w:rsidRDefault="004933BF" w:rsidP="005F156D">
    <w:pPr>
      <w:pStyle w:val="a5"/>
      <w:rPr>
        <w:color w:val="FF0000"/>
      </w:rPr>
    </w:pPr>
    <w:r>
      <w:rPr>
        <w:rFonts w:ascii="Arial" w:hAnsi="Arial"/>
        <w:i/>
        <w:noProof/>
        <w:color w:val="FF0000"/>
        <w:sz w:val="24"/>
        <w:lang w:eastAsia="zh-CN"/>
      </w:rPr>
      <w:pict w14:anchorId="241F37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_1_2" o:spid="_x0000_s2050" type="#_x0000_t136" style="position:absolute;left:0;text-align:left;margin-left:0;margin-top:0;width:712.75pt;height:71.3pt;rotation:-45;z-index:251659264;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v0064910 企业机密"/>
          <o:lock v:ext="edit" aspectratio="t"/>
          <w10:wrap side="larges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256"/>
    <w:multiLevelType w:val="multilevel"/>
    <w:tmpl w:val="82A69748"/>
    <w:lvl w:ilvl="0">
      <w:start w:val="1"/>
      <w:numFmt w:val="decimal"/>
      <w:lvlText w:val="%1."/>
      <w:lvlJc w:val="left"/>
      <w:pPr>
        <w:tabs>
          <w:tab w:val="num" w:pos="2203"/>
        </w:tabs>
        <w:ind w:left="2203"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2A441ABE"/>
    <w:multiLevelType w:val="hybridMultilevel"/>
    <w:tmpl w:val="E5B26F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A194F"/>
    <w:multiLevelType w:val="hybridMultilevel"/>
    <w:tmpl w:val="364A2C34"/>
    <w:lvl w:ilvl="0" w:tplc="B5AE42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184BBD"/>
    <w:multiLevelType w:val="hybridMultilevel"/>
    <w:tmpl w:val="66380C02"/>
    <w:lvl w:ilvl="0" w:tplc="00C27734">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335506A5"/>
    <w:multiLevelType w:val="hybridMultilevel"/>
    <w:tmpl w:val="94BC9B18"/>
    <w:lvl w:ilvl="0" w:tplc="29260DE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F16DDC"/>
    <w:multiLevelType w:val="hybridMultilevel"/>
    <w:tmpl w:val="C726A5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CC72E1"/>
    <w:multiLevelType w:val="hybridMultilevel"/>
    <w:tmpl w:val="DFEA980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0DF73EC"/>
    <w:multiLevelType w:val="hybridMultilevel"/>
    <w:tmpl w:val="EE1649EC"/>
    <w:lvl w:ilvl="0" w:tplc="3C667F7A">
      <w:start w:val="1"/>
      <w:numFmt w:val="decimal"/>
      <w:pStyle w:val="References"/>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3C31B4"/>
    <w:multiLevelType w:val="hybridMultilevel"/>
    <w:tmpl w:val="15E4309C"/>
    <w:lvl w:ilvl="0" w:tplc="79C061E2">
      <w:start w:val="1"/>
      <w:numFmt w:val="decimal"/>
      <w:lvlText w:val="%1."/>
      <w:lvlJc w:val="left"/>
      <w:pPr>
        <w:tabs>
          <w:tab w:val="num" w:pos="432"/>
        </w:tabs>
        <w:ind w:left="432" w:hanging="432"/>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53285C"/>
    <w:multiLevelType w:val="hybridMultilevel"/>
    <w:tmpl w:val="3D3EF828"/>
    <w:lvl w:ilvl="0" w:tplc="081EDC5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6A3364"/>
    <w:multiLevelType w:val="hybridMultilevel"/>
    <w:tmpl w:val="808A8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8208ED"/>
    <w:multiLevelType w:val="hybridMultilevel"/>
    <w:tmpl w:val="AF468238"/>
    <w:lvl w:ilvl="0" w:tplc="975E68E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0474BD7"/>
    <w:multiLevelType w:val="hybridMultilevel"/>
    <w:tmpl w:val="89420D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90296"/>
    <w:multiLevelType w:val="hybridMultilevel"/>
    <w:tmpl w:val="CF100D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846D15"/>
    <w:multiLevelType w:val="hybridMultilevel"/>
    <w:tmpl w:val="FC84E56C"/>
    <w:lvl w:ilvl="0" w:tplc="B5AE428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BEF00F4"/>
    <w:multiLevelType w:val="hybridMultilevel"/>
    <w:tmpl w:val="3F809510"/>
    <w:lvl w:ilvl="0" w:tplc="F1085B6A">
      <w:start w:val="1"/>
      <w:numFmt w:val="decimal"/>
      <w:lvlText w:val="%1."/>
      <w:lvlJc w:val="left"/>
      <w:pPr>
        <w:ind w:left="420" w:hanging="420"/>
      </w:pPr>
      <w:rPr>
        <w:rFonts w:ascii="Times New Roman" w:hAnsi="Times New Roman" w:cs="Times New Roman"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8"/>
  </w:num>
  <w:num w:numId="4">
    <w:abstractNumId w:val="2"/>
  </w:num>
  <w:num w:numId="5">
    <w:abstractNumId w:val="9"/>
  </w:num>
  <w:num w:numId="6">
    <w:abstractNumId w:val="10"/>
  </w:num>
  <w:num w:numId="7">
    <w:abstractNumId w:val="4"/>
  </w:num>
  <w:num w:numId="8">
    <w:abstractNumId w:val="13"/>
  </w:num>
  <w:num w:numId="9">
    <w:abstractNumId w:val="12"/>
  </w:num>
  <w:num w:numId="10">
    <w:abstractNumId w:val="0"/>
  </w:num>
  <w:num w:numId="11">
    <w:abstractNumId w:val="0"/>
  </w:num>
  <w:num w:numId="12">
    <w:abstractNumId w:val="0"/>
  </w:num>
  <w:num w:numId="13">
    <w:abstractNumId w:val="0"/>
  </w:num>
  <w:num w:numId="14">
    <w:abstractNumId w:val="6"/>
  </w:num>
  <w:num w:numId="15">
    <w:abstractNumId w:val="11"/>
  </w:num>
  <w:num w:numId="16">
    <w:abstractNumId w:val="14"/>
  </w:num>
  <w:num w:numId="17">
    <w:abstractNumId w:val="1"/>
  </w:num>
  <w:num w:numId="18">
    <w:abstractNumId w:val="5"/>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AF"/>
    <w:rsid w:val="00001A7E"/>
    <w:rsid w:val="00002718"/>
    <w:rsid w:val="00012076"/>
    <w:rsid w:val="000217E2"/>
    <w:rsid w:val="000266CF"/>
    <w:rsid w:val="00042B83"/>
    <w:rsid w:val="00044BAB"/>
    <w:rsid w:val="00044C70"/>
    <w:rsid w:val="00050BEC"/>
    <w:rsid w:val="00051707"/>
    <w:rsid w:val="00051A9B"/>
    <w:rsid w:val="000531E0"/>
    <w:rsid w:val="000559CE"/>
    <w:rsid w:val="00062BA5"/>
    <w:rsid w:val="0006664F"/>
    <w:rsid w:val="000670C5"/>
    <w:rsid w:val="00073699"/>
    <w:rsid w:val="0007493C"/>
    <w:rsid w:val="00075E74"/>
    <w:rsid w:val="00077981"/>
    <w:rsid w:val="00083BE6"/>
    <w:rsid w:val="00092351"/>
    <w:rsid w:val="000938C8"/>
    <w:rsid w:val="00093ACC"/>
    <w:rsid w:val="000A1125"/>
    <w:rsid w:val="000A2B4E"/>
    <w:rsid w:val="000B341D"/>
    <w:rsid w:val="000B35CD"/>
    <w:rsid w:val="000D2479"/>
    <w:rsid w:val="000D2D29"/>
    <w:rsid w:val="000D6C85"/>
    <w:rsid w:val="000E05BE"/>
    <w:rsid w:val="000E2872"/>
    <w:rsid w:val="000E62DD"/>
    <w:rsid w:val="000F2C33"/>
    <w:rsid w:val="000F37A3"/>
    <w:rsid w:val="00102121"/>
    <w:rsid w:val="00102C64"/>
    <w:rsid w:val="001047C6"/>
    <w:rsid w:val="0011269D"/>
    <w:rsid w:val="00113AF0"/>
    <w:rsid w:val="00124069"/>
    <w:rsid w:val="00124739"/>
    <w:rsid w:val="00133BEE"/>
    <w:rsid w:val="00137F42"/>
    <w:rsid w:val="0014033B"/>
    <w:rsid w:val="0014061D"/>
    <w:rsid w:val="0014255A"/>
    <w:rsid w:val="001425E5"/>
    <w:rsid w:val="00150DB9"/>
    <w:rsid w:val="00151BDF"/>
    <w:rsid w:val="00160E18"/>
    <w:rsid w:val="00162B2A"/>
    <w:rsid w:val="00164DE8"/>
    <w:rsid w:val="0016569C"/>
    <w:rsid w:val="00174FA1"/>
    <w:rsid w:val="00182228"/>
    <w:rsid w:val="00187EFC"/>
    <w:rsid w:val="00191332"/>
    <w:rsid w:val="00195AE4"/>
    <w:rsid w:val="001B052A"/>
    <w:rsid w:val="001B2A81"/>
    <w:rsid w:val="001B3345"/>
    <w:rsid w:val="001B6427"/>
    <w:rsid w:val="001C1A1E"/>
    <w:rsid w:val="001C2F48"/>
    <w:rsid w:val="001C47D6"/>
    <w:rsid w:val="001D085F"/>
    <w:rsid w:val="001D1035"/>
    <w:rsid w:val="001D2AB3"/>
    <w:rsid w:val="001D32CC"/>
    <w:rsid w:val="001D6EF9"/>
    <w:rsid w:val="001E20E7"/>
    <w:rsid w:val="001F0888"/>
    <w:rsid w:val="001F0DCD"/>
    <w:rsid w:val="001F1769"/>
    <w:rsid w:val="001F2A48"/>
    <w:rsid w:val="002000FC"/>
    <w:rsid w:val="00200222"/>
    <w:rsid w:val="0020604A"/>
    <w:rsid w:val="00207C90"/>
    <w:rsid w:val="00211562"/>
    <w:rsid w:val="0021317B"/>
    <w:rsid w:val="002178C2"/>
    <w:rsid w:val="00220FA0"/>
    <w:rsid w:val="002237A0"/>
    <w:rsid w:val="00226837"/>
    <w:rsid w:val="00233666"/>
    <w:rsid w:val="00233DD7"/>
    <w:rsid w:val="00240963"/>
    <w:rsid w:val="00243FDC"/>
    <w:rsid w:val="002567AF"/>
    <w:rsid w:val="00263181"/>
    <w:rsid w:val="0026318A"/>
    <w:rsid w:val="002637DC"/>
    <w:rsid w:val="00272CE5"/>
    <w:rsid w:val="00274C52"/>
    <w:rsid w:val="00275B65"/>
    <w:rsid w:val="00287923"/>
    <w:rsid w:val="00293947"/>
    <w:rsid w:val="0029549F"/>
    <w:rsid w:val="00295D0D"/>
    <w:rsid w:val="002A0AE1"/>
    <w:rsid w:val="002A4932"/>
    <w:rsid w:val="002A7325"/>
    <w:rsid w:val="002A739F"/>
    <w:rsid w:val="002B39EA"/>
    <w:rsid w:val="002C066B"/>
    <w:rsid w:val="002C1958"/>
    <w:rsid w:val="002C3F9D"/>
    <w:rsid w:val="002C5749"/>
    <w:rsid w:val="002D5AA9"/>
    <w:rsid w:val="002E31D0"/>
    <w:rsid w:val="002E4A71"/>
    <w:rsid w:val="002E6C66"/>
    <w:rsid w:val="002F6E94"/>
    <w:rsid w:val="002F7101"/>
    <w:rsid w:val="00301BFA"/>
    <w:rsid w:val="0030589D"/>
    <w:rsid w:val="00305BE0"/>
    <w:rsid w:val="003076DF"/>
    <w:rsid w:val="003116E0"/>
    <w:rsid w:val="00314EE0"/>
    <w:rsid w:val="00323116"/>
    <w:rsid w:val="00324D0C"/>
    <w:rsid w:val="0032588D"/>
    <w:rsid w:val="003279DA"/>
    <w:rsid w:val="003314A5"/>
    <w:rsid w:val="00331B08"/>
    <w:rsid w:val="00340A16"/>
    <w:rsid w:val="0034255A"/>
    <w:rsid w:val="00343566"/>
    <w:rsid w:val="00347C8F"/>
    <w:rsid w:val="003515C7"/>
    <w:rsid w:val="00356395"/>
    <w:rsid w:val="003648B3"/>
    <w:rsid w:val="003673C5"/>
    <w:rsid w:val="0036764C"/>
    <w:rsid w:val="00373F44"/>
    <w:rsid w:val="0038060E"/>
    <w:rsid w:val="00382083"/>
    <w:rsid w:val="003845DF"/>
    <w:rsid w:val="00385240"/>
    <w:rsid w:val="00386BA6"/>
    <w:rsid w:val="0038749B"/>
    <w:rsid w:val="003A6416"/>
    <w:rsid w:val="003A70B2"/>
    <w:rsid w:val="003B4248"/>
    <w:rsid w:val="003B56C4"/>
    <w:rsid w:val="003C0750"/>
    <w:rsid w:val="003C1339"/>
    <w:rsid w:val="003C1769"/>
    <w:rsid w:val="003C1BC3"/>
    <w:rsid w:val="003C717B"/>
    <w:rsid w:val="003D147F"/>
    <w:rsid w:val="003D2A3B"/>
    <w:rsid w:val="003D77A1"/>
    <w:rsid w:val="003E4A69"/>
    <w:rsid w:val="003E50CE"/>
    <w:rsid w:val="003E6541"/>
    <w:rsid w:val="003F6022"/>
    <w:rsid w:val="003F697C"/>
    <w:rsid w:val="003F7503"/>
    <w:rsid w:val="004040CD"/>
    <w:rsid w:val="00407BB9"/>
    <w:rsid w:val="00413CFB"/>
    <w:rsid w:val="0043611B"/>
    <w:rsid w:val="00453C25"/>
    <w:rsid w:val="00455BDF"/>
    <w:rsid w:val="00456C48"/>
    <w:rsid w:val="004610CD"/>
    <w:rsid w:val="004631E8"/>
    <w:rsid w:val="00467DD0"/>
    <w:rsid w:val="00470FE4"/>
    <w:rsid w:val="00471BFB"/>
    <w:rsid w:val="00472C69"/>
    <w:rsid w:val="00475452"/>
    <w:rsid w:val="00475F4C"/>
    <w:rsid w:val="004810C6"/>
    <w:rsid w:val="0048169D"/>
    <w:rsid w:val="00486BBE"/>
    <w:rsid w:val="0049182D"/>
    <w:rsid w:val="004933BF"/>
    <w:rsid w:val="004A15E2"/>
    <w:rsid w:val="004A3AFC"/>
    <w:rsid w:val="004A499D"/>
    <w:rsid w:val="004A62ED"/>
    <w:rsid w:val="004C2F93"/>
    <w:rsid w:val="004C3302"/>
    <w:rsid w:val="004C6B99"/>
    <w:rsid w:val="004C6CDC"/>
    <w:rsid w:val="004C73BE"/>
    <w:rsid w:val="004D2AC6"/>
    <w:rsid w:val="004D7F72"/>
    <w:rsid w:val="004E1B1D"/>
    <w:rsid w:val="004E3DFE"/>
    <w:rsid w:val="004F2267"/>
    <w:rsid w:val="004F2EEF"/>
    <w:rsid w:val="004F33C8"/>
    <w:rsid w:val="004F5648"/>
    <w:rsid w:val="00503331"/>
    <w:rsid w:val="005047CE"/>
    <w:rsid w:val="00506386"/>
    <w:rsid w:val="00506D46"/>
    <w:rsid w:val="0051061B"/>
    <w:rsid w:val="00511443"/>
    <w:rsid w:val="00516634"/>
    <w:rsid w:val="00520202"/>
    <w:rsid w:val="005225EB"/>
    <w:rsid w:val="00530B44"/>
    <w:rsid w:val="00530F2A"/>
    <w:rsid w:val="00531435"/>
    <w:rsid w:val="00540645"/>
    <w:rsid w:val="005520E2"/>
    <w:rsid w:val="005575CC"/>
    <w:rsid w:val="0056310A"/>
    <w:rsid w:val="00572C5B"/>
    <w:rsid w:val="00572F4C"/>
    <w:rsid w:val="00576CC5"/>
    <w:rsid w:val="00576D49"/>
    <w:rsid w:val="00580629"/>
    <w:rsid w:val="005A2936"/>
    <w:rsid w:val="005A5C45"/>
    <w:rsid w:val="005B05B0"/>
    <w:rsid w:val="005B1E3C"/>
    <w:rsid w:val="005B25E0"/>
    <w:rsid w:val="005B292F"/>
    <w:rsid w:val="005B4E52"/>
    <w:rsid w:val="005C00D6"/>
    <w:rsid w:val="005C13F8"/>
    <w:rsid w:val="005C15F0"/>
    <w:rsid w:val="005C5296"/>
    <w:rsid w:val="005E0655"/>
    <w:rsid w:val="005E0851"/>
    <w:rsid w:val="005E0E6C"/>
    <w:rsid w:val="005E771C"/>
    <w:rsid w:val="005F156D"/>
    <w:rsid w:val="005F2018"/>
    <w:rsid w:val="005F2996"/>
    <w:rsid w:val="005F2E1E"/>
    <w:rsid w:val="005F5748"/>
    <w:rsid w:val="006004A6"/>
    <w:rsid w:val="00602B7E"/>
    <w:rsid w:val="006074A9"/>
    <w:rsid w:val="006075F0"/>
    <w:rsid w:val="0060782F"/>
    <w:rsid w:val="00610133"/>
    <w:rsid w:val="00612A63"/>
    <w:rsid w:val="00621506"/>
    <w:rsid w:val="006221AA"/>
    <w:rsid w:val="006251FD"/>
    <w:rsid w:val="00625FE1"/>
    <w:rsid w:val="006338C7"/>
    <w:rsid w:val="006365A1"/>
    <w:rsid w:val="0064371F"/>
    <w:rsid w:val="00643ED8"/>
    <w:rsid w:val="00646936"/>
    <w:rsid w:val="00652137"/>
    <w:rsid w:val="00664EA7"/>
    <w:rsid w:val="00670D6A"/>
    <w:rsid w:val="00675793"/>
    <w:rsid w:val="00677534"/>
    <w:rsid w:val="00680334"/>
    <w:rsid w:val="00681B87"/>
    <w:rsid w:val="00682071"/>
    <w:rsid w:val="00682CFF"/>
    <w:rsid w:val="0068425A"/>
    <w:rsid w:val="006909F3"/>
    <w:rsid w:val="00690BF2"/>
    <w:rsid w:val="00694C99"/>
    <w:rsid w:val="00696083"/>
    <w:rsid w:val="006A0DB1"/>
    <w:rsid w:val="006A786F"/>
    <w:rsid w:val="006B318B"/>
    <w:rsid w:val="006B66C4"/>
    <w:rsid w:val="006B6F01"/>
    <w:rsid w:val="006B73FC"/>
    <w:rsid w:val="006C0EFD"/>
    <w:rsid w:val="006C2D49"/>
    <w:rsid w:val="006C3CF6"/>
    <w:rsid w:val="006C6AFA"/>
    <w:rsid w:val="006D00F6"/>
    <w:rsid w:val="006D032E"/>
    <w:rsid w:val="006D10D9"/>
    <w:rsid w:val="006D7142"/>
    <w:rsid w:val="006E00AE"/>
    <w:rsid w:val="006E2DC7"/>
    <w:rsid w:val="006E3297"/>
    <w:rsid w:val="006E50AD"/>
    <w:rsid w:val="007069CE"/>
    <w:rsid w:val="007243EC"/>
    <w:rsid w:val="00725F87"/>
    <w:rsid w:val="00726D8D"/>
    <w:rsid w:val="00730B3B"/>
    <w:rsid w:val="00733C39"/>
    <w:rsid w:val="007442F5"/>
    <w:rsid w:val="00745261"/>
    <w:rsid w:val="00751ACA"/>
    <w:rsid w:val="00754A64"/>
    <w:rsid w:val="00762ED7"/>
    <w:rsid w:val="00762F9F"/>
    <w:rsid w:val="00764CD7"/>
    <w:rsid w:val="007700E1"/>
    <w:rsid w:val="00770EF2"/>
    <w:rsid w:val="0077298D"/>
    <w:rsid w:val="00773E3D"/>
    <w:rsid w:val="007852A0"/>
    <w:rsid w:val="0078751F"/>
    <w:rsid w:val="00794150"/>
    <w:rsid w:val="00797296"/>
    <w:rsid w:val="007A6A58"/>
    <w:rsid w:val="007B40D2"/>
    <w:rsid w:val="007B53E2"/>
    <w:rsid w:val="007B5FA0"/>
    <w:rsid w:val="007B6771"/>
    <w:rsid w:val="007C2AF7"/>
    <w:rsid w:val="007D1F05"/>
    <w:rsid w:val="007D469C"/>
    <w:rsid w:val="007D592E"/>
    <w:rsid w:val="007F7699"/>
    <w:rsid w:val="008009CA"/>
    <w:rsid w:val="008052AA"/>
    <w:rsid w:val="008126DA"/>
    <w:rsid w:val="008220DB"/>
    <w:rsid w:val="00822784"/>
    <w:rsid w:val="008251E3"/>
    <w:rsid w:val="008368E9"/>
    <w:rsid w:val="0084437E"/>
    <w:rsid w:val="00845FD7"/>
    <w:rsid w:val="00846548"/>
    <w:rsid w:val="00847C84"/>
    <w:rsid w:val="00851AF4"/>
    <w:rsid w:val="00853792"/>
    <w:rsid w:val="00853DFA"/>
    <w:rsid w:val="00861102"/>
    <w:rsid w:val="00861B38"/>
    <w:rsid w:val="00863478"/>
    <w:rsid w:val="00863ED9"/>
    <w:rsid w:val="00864D33"/>
    <w:rsid w:val="008701A1"/>
    <w:rsid w:val="008725A3"/>
    <w:rsid w:val="00873A98"/>
    <w:rsid w:val="00877B0C"/>
    <w:rsid w:val="00880BA4"/>
    <w:rsid w:val="00894002"/>
    <w:rsid w:val="008A5E1E"/>
    <w:rsid w:val="008B5565"/>
    <w:rsid w:val="008B77D7"/>
    <w:rsid w:val="008C2C14"/>
    <w:rsid w:val="008D0726"/>
    <w:rsid w:val="008D4841"/>
    <w:rsid w:val="008D7F38"/>
    <w:rsid w:val="008E03A4"/>
    <w:rsid w:val="008E0C82"/>
    <w:rsid w:val="008E3D40"/>
    <w:rsid w:val="008E449B"/>
    <w:rsid w:val="008E7D03"/>
    <w:rsid w:val="008F350A"/>
    <w:rsid w:val="008F4AB8"/>
    <w:rsid w:val="008F70C7"/>
    <w:rsid w:val="00900742"/>
    <w:rsid w:val="009009B7"/>
    <w:rsid w:val="00905443"/>
    <w:rsid w:val="00907AA9"/>
    <w:rsid w:val="009201D4"/>
    <w:rsid w:val="0092143A"/>
    <w:rsid w:val="00934EDC"/>
    <w:rsid w:val="009439A0"/>
    <w:rsid w:val="00946084"/>
    <w:rsid w:val="009519B9"/>
    <w:rsid w:val="0095285A"/>
    <w:rsid w:val="00952D33"/>
    <w:rsid w:val="009531CD"/>
    <w:rsid w:val="00957351"/>
    <w:rsid w:val="00961018"/>
    <w:rsid w:val="009707A6"/>
    <w:rsid w:val="00975963"/>
    <w:rsid w:val="00977590"/>
    <w:rsid w:val="0098093B"/>
    <w:rsid w:val="00992118"/>
    <w:rsid w:val="009A08CC"/>
    <w:rsid w:val="009A67CD"/>
    <w:rsid w:val="009B13D2"/>
    <w:rsid w:val="009B460C"/>
    <w:rsid w:val="009C30F3"/>
    <w:rsid w:val="009C442F"/>
    <w:rsid w:val="009D28A6"/>
    <w:rsid w:val="009D3D2F"/>
    <w:rsid w:val="009D7822"/>
    <w:rsid w:val="009E031E"/>
    <w:rsid w:val="009E49A6"/>
    <w:rsid w:val="009E59FF"/>
    <w:rsid w:val="009F15BE"/>
    <w:rsid w:val="009F3E3C"/>
    <w:rsid w:val="00A03279"/>
    <w:rsid w:val="00A04710"/>
    <w:rsid w:val="00A0473C"/>
    <w:rsid w:val="00A0579D"/>
    <w:rsid w:val="00A134CA"/>
    <w:rsid w:val="00A24E1F"/>
    <w:rsid w:val="00A255FC"/>
    <w:rsid w:val="00A2750B"/>
    <w:rsid w:val="00A33E6C"/>
    <w:rsid w:val="00A41EAC"/>
    <w:rsid w:val="00A42D21"/>
    <w:rsid w:val="00A56161"/>
    <w:rsid w:val="00A6095D"/>
    <w:rsid w:val="00A67962"/>
    <w:rsid w:val="00A67EF1"/>
    <w:rsid w:val="00A70249"/>
    <w:rsid w:val="00A71ADC"/>
    <w:rsid w:val="00A91149"/>
    <w:rsid w:val="00A912C3"/>
    <w:rsid w:val="00A92AE9"/>
    <w:rsid w:val="00A92C33"/>
    <w:rsid w:val="00A9476D"/>
    <w:rsid w:val="00A94AA4"/>
    <w:rsid w:val="00AA2777"/>
    <w:rsid w:val="00AA39A5"/>
    <w:rsid w:val="00AA3D36"/>
    <w:rsid w:val="00AA64AF"/>
    <w:rsid w:val="00AA7C21"/>
    <w:rsid w:val="00AB1CB0"/>
    <w:rsid w:val="00AB3AF2"/>
    <w:rsid w:val="00AB5BAA"/>
    <w:rsid w:val="00AE639A"/>
    <w:rsid w:val="00AF56E0"/>
    <w:rsid w:val="00AF5FEB"/>
    <w:rsid w:val="00B02E63"/>
    <w:rsid w:val="00B058AE"/>
    <w:rsid w:val="00B12AFC"/>
    <w:rsid w:val="00B12C4A"/>
    <w:rsid w:val="00B12D40"/>
    <w:rsid w:val="00B12E92"/>
    <w:rsid w:val="00B13969"/>
    <w:rsid w:val="00B178A6"/>
    <w:rsid w:val="00B2166E"/>
    <w:rsid w:val="00B30595"/>
    <w:rsid w:val="00B30B24"/>
    <w:rsid w:val="00B312F3"/>
    <w:rsid w:val="00B35D55"/>
    <w:rsid w:val="00B40EC7"/>
    <w:rsid w:val="00B43D42"/>
    <w:rsid w:val="00B56DCB"/>
    <w:rsid w:val="00B60248"/>
    <w:rsid w:val="00B63937"/>
    <w:rsid w:val="00B6468B"/>
    <w:rsid w:val="00B651CE"/>
    <w:rsid w:val="00B65DEB"/>
    <w:rsid w:val="00B73BCA"/>
    <w:rsid w:val="00B76AEC"/>
    <w:rsid w:val="00B77313"/>
    <w:rsid w:val="00B814C3"/>
    <w:rsid w:val="00B83007"/>
    <w:rsid w:val="00B84215"/>
    <w:rsid w:val="00B85F56"/>
    <w:rsid w:val="00B9234D"/>
    <w:rsid w:val="00B95F09"/>
    <w:rsid w:val="00BB1F6A"/>
    <w:rsid w:val="00BB69C3"/>
    <w:rsid w:val="00BB73D0"/>
    <w:rsid w:val="00BC1DE7"/>
    <w:rsid w:val="00BC39A3"/>
    <w:rsid w:val="00BC62CA"/>
    <w:rsid w:val="00BD1FC8"/>
    <w:rsid w:val="00BE280D"/>
    <w:rsid w:val="00BE2EBC"/>
    <w:rsid w:val="00BF114A"/>
    <w:rsid w:val="00BF2763"/>
    <w:rsid w:val="00BF7D8F"/>
    <w:rsid w:val="00C01235"/>
    <w:rsid w:val="00C019C4"/>
    <w:rsid w:val="00C061F8"/>
    <w:rsid w:val="00C06BCF"/>
    <w:rsid w:val="00C2058B"/>
    <w:rsid w:val="00C24DEC"/>
    <w:rsid w:val="00C27BB7"/>
    <w:rsid w:val="00C27DAF"/>
    <w:rsid w:val="00C30C59"/>
    <w:rsid w:val="00C30FF0"/>
    <w:rsid w:val="00C52E8E"/>
    <w:rsid w:val="00C531D9"/>
    <w:rsid w:val="00C54EA1"/>
    <w:rsid w:val="00C615C5"/>
    <w:rsid w:val="00C65980"/>
    <w:rsid w:val="00C66051"/>
    <w:rsid w:val="00C733CB"/>
    <w:rsid w:val="00C81420"/>
    <w:rsid w:val="00C85432"/>
    <w:rsid w:val="00C85EA7"/>
    <w:rsid w:val="00C863D8"/>
    <w:rsid w:val="00C930F9"/>
    <w:rsid w:val="00C9568B"/>
    <w:rsid w:val="00CA0554"/>
    <w:rsid w:val="00CA17DC"/>
    <w:rsid w:val="00CA3FB6"/>
    <w:rsid w:val="00CA6B82"/>
    <w:rsid w:val="00CB036D"/>
    <w:rsid w:val="00CB0870"/>
    <w:rsid w:val="00CB0C74"/>
    <w:rsid w:val="00CB1C6A"/>
    <w:rsid w:val="00CB2F77"/>
    <w:rsid w:val="00CB3104"/>
    <w:rsid w:val="00CB5A53"/>
    <w:rsid w:val="00CC0559"/>
    <w:rsid w:val="00CC267D"/>
    <w:rsid w:val="00CC36E8"/>
    <w:rsid w:val="00CC73BD"/>
    <w:rsid w:val="00CD6FF8"/>
    <w:rsid w:val="00CE4734"/>
    <w:rsid w:val="00CE681E"/>
    <w:rsid w:val="00CF15C2"/>
    <w:rsid w:val="00D01E53"/>
    <w:rsid w:val="00D03C2F"/>
    <w:rsid w:val="00D059D6"/>
    <w:rsid w:val="00D1090C"/>
    <w:rsid w:val="00D1623B"/>
    <w:rsid w:val="00D1710D"/>
    <w:rsid w:val="00D17E64"/>
    <w:rsid w:val="00D263C3"/>
    <w:rsid w:val="00D26AE4"/>
    <w:rsid w:val="00D32E24"/>
    <w:rsid w:val="00D3523B"/>
    <w:rsid w:val="00D35D6D"/>
    <w:rsid w:val="00D437D6"/>
    <w:rsid w:val="00D5304A"/>
    <w:rsid w:val="00D57C4E"/>
    <w:rsid w:val="00D603CF"/>
    <w:rsid w:val="00D6217D"/>
    <w:rsid w:val="00D62A6C"/>
    <w:rsid w:val="00D639C6"/>
    <w:rsid w:val="00D71C6F"/>
    <w:rsid w:val="00D7316E"/>
    <w:rsid w:val="00D77BC4"/>
    <w:rsid w:val="00D8314F"/>
    <w:rsid w:val="00D846E6"/>
    <w:rsid w:val="00D85507"/>
    <w:rsid w:val="00DA0F58"/>
    <w:rsid w:val="00DA35DF"/>
    <w:rsid w:val="00DA4BA6"/>
    <w:rsid w:val="00DA5ADF"/>
    <w:rsid w:val="00DB1930"/>
    <w:rsid w:val="00DB34F9"/>
    <w:rsid w:val="00DB5B03"/>
    <w:rsid w:val="00DC2066"/>
    <w:rsid w:val="00DC5C47"/>
    <w:rsid w:val="00DD7967"/>
    <w:rsid w:val="00DE37AB"/>
    <w:rsid w:val="00DE4933"/>
    <w:rsid w:val="00DE6004"/>
    <w:rsid w:val="00DF1C0B"/>
    <w:rsid w:val="00DF2738"/>
    <w:rsid w:val="00DF2C19"/>
    <w:rsid w:val="00DF6535"/>
    <w:rsid w:val="00E11696"/>
    <w:rsid w:val="00E14474"/>
    <w:rsid w:val="00E16DEB"/>
    <w:rsid w:val="00E17258"/>
    <w:rsid w:val="00E178FB"/>
    <w:rsid w:val="00E213F6"/>
    <w:rsid w:val="00E31981"/>
    <w:rsid w:val="00E42207"/>
    <w:rsid w:val="00E476B1"/>
    <w:rsid w:val="00E476D9"/>
    <w:rsid w:val="00E525DC"/>
    <w:rsid w:val="00E552C6"/>
    <w:rsid w:val="00E62B94"/>
    <w:rsid w:val="00E6386B"/>
    <w:rsid w:val="00E67EB5"/>
    <w:rsid w:val="00E7121D"/>
    <w:rsid w:val="00E731EB"/>
    <w:rsid w:val="00E8042B"/>
    <w:rsid w:val="00E81E80"/>
    <w:rsid w:val="00E85E30"/>
    <w:rsid w:val="00E944D7"/>
    <w:rsid w:val="00EA032F"/>
    <w:rsid w:val="00EB5806"/>
    <w:rsid w:val="00EB5E8D"/>
    <w:rsid w:val="00EC500F"/>
    <w:rsid w:val="00EC7E35"/>
    <w:rsid w:val="00ED0349"/>
    <w:rsid w:val="00ED6FE9"/>
    <w:rsid w:val="00ED77BD"/>
    <w:rsid w:val="00EE0DB7"/>
    <w:rsid w:val="00EE2C82"/>
    <w:rsid w:val="00EE6C4A"/>
    <w:rsid w:val="00EF1452"/>
    <w:rsid w:val="00EF3028"/>
    <w:rsid w:val="00F02475"/>
    <w:rsid w:val="00F04FDC"/>
    <w:rsid w:val="00F05269"/>
    <w:rsid w:val="00F11252"/>
    <w:rsid w:val="00F139E3"/>
    <w:rsid w:val="00F17574"/>
    <w:rsid w:val="00F20686"/>
    <w:rsid w:val="00F222CF"/>
    <w:rsid w:val="00F229FE"/>
    <w:rsid w:val="00F22D18"/>
    <w:rsid w:val="00F25A45"/>
    <w:rsid w:val="00F2727B"/>
    <w:rsid w:val="00F27C0F"/>
    <w:rsid w:val="00F33894"/>
    <w:rsid w:val="00F338DF"/>
    <w:rsid w:val="00F37244"/>
    <w:rsid w:val="00F42B36"/>
    <w:rsid w:val="00F4328F"/>
    <w:rsid w:val="00F5176E"/>
    <w:rsid w:val="00F52532"/>
    <w:rsid w:val="00F54E2F"/>
    <w:rsid w:val="00F57B7D"/>
    <w:rsid w:val="00F6334A"/>
    <w:rsid w:val="00F75A1A"/>
    <w:rsid w:val="00F7633B"/>
    <w:rsid w:val="00F80BE0"/>
    <w:rsid w:val="00F85D4B"/>
    <w:rsid w:val="00F86DCE"/>
    <w:rsid w:val="00F92C9C"/>
    <w:rsid w:val="00F92F41"/>
    <w:rsid w:val="00F94B62"/>
    <w:rsid w:val="00FB185B"/>
    <w:rsid w:val="00FB4034"/>
    <w:rsid w:val="00FB5F95"/>
    <w:rsid w:val="00FB7322"/>
    <w:rsid w:val="00FC3A91"/>
    <w:rsid w:val="00FC65CD"/>
    <w:rsid w:val="00FD0309"/>
    <w:rsid w:val="00FD14E1"/>
    <w:rsid w:val="00FE1C3E"/>
    <w:rsid w:val="00FE29E6"/>
    <w:rsid w:val="00FE2A78"/>
    <w:rsid w:val="00FE31AD"/>
    <w:rsid w:val="00FF00E8"/>
    <w:rsid w:val="00FF0500"/>
    <w:rsid w:val="00FF11F1"/>
    <w:rsid w:val="00FF2CBA"/>
    <w:rsid w:val="00FF7139"/>
    <w:rsid w:val="00FF7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7E5CDBF"/>
  <w15:docId w15:val="{886CD7AF-5245-4A29-BBAD-2636662A7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DAF"/>
    <w:pPr>
      <w:widowControl w:val="0"/>
      <w:overflowPunct w:val="0"/>
      <w:autoSpaceDE w:val="0"/>
      <w:autoSpaceDN w:val="0"/>
      <w:adjustRightInd w:val="0"/>
      <w:spacing w:after="80"/>
      <w:jc w:val="both"/>
      <w:textAlignment w:val="baseline"/>
    </w:pPr>
    <w:rPr>
      <w:sz w:val="18"/>
      <w:lang w:eastAsia="ko-KR"/>
    </w:rPr>
  </w:style>
  <w:style w:type="paragraph" w:styleId="1">
    <w:name w:val="heading 1"/>
    <w:basedOn w:val="a"/>
    <w:next w:val="a"/>
    <w:link w:val="1Char"/>
    <w:qFormat/>
    <w:rsid w:val="00C27DAF"/>
    <w:pPr>
      <w:keepNext/>
      <w:spacing w:before="120" w:after="0"/>
      <w:jc w:val="left"/>
      <w:outlineLvl w:val="0"/>
    </w:pPr>
    <w:rPr>
      <w:b/>
      <w:kern w:val="28"/>
      <w:sz w:val="24"/>
    </w:rPr>
  </w:style>
  <w:style w:type="paragraph" w:styleId="2">
    <w:name w:val="heading 2"/>
    <w:basedOn w:val="1"/>
    <w:next w:val="a"/>
    <w:qFormat/>
    <w:rsid w:val="00C27DAF"/>
    <w:pPr>
      <w:numPr>
        <w:ilvl w:val="1"/>
      </w:numPr>
      <w:tabs>
        <w:tab w:val="num" w:pos="360"/>
      </w:tabs>
      <w:outlineLvl w:val="1"/>
    </w:pPr>
    <w:rPr>
      <w:sz w:val="22"/>
    </w:rPr>
  </w:style>
  <w:style w:type="paragraph" w:styleId="3">
    <w:name w:val="heading 3"/>
    <w:basedOn w:val="2"/>
    <w:next w:val="a"/>
    <w:qFormat/>
    <w:rsid w:val="00C27DAF"/>
    <w:pPr>
      <w:numPr>
        <w:ilvl w:val="2"/>
      </w:numPr>
      <w:tabs>
        <w:tab w:val="num" w:pos="360"/>
      </w:tabs>
      <w:outlineLvl w:val="2"/>
    </w:pPr>
    <w:rPr>
      <w:b w:val="0"/>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27DAF"/>
    <w:pPr>
      <w:jc w:val="center"/>
    </w:pPr>
    <w:rPr>
      <w:rFonts w:ascii="Arial" w:hAnsi="Arial"/>
      <w:b/>
    </w:rPr>
  </w:style>
  <w:style w:type="character" w:styleId="a4">
    <w:name w:val="Hyperlink"/>
    <w:unhideWhenUsed/>
    <w:rsid w:val="00C27DAF"/>
    <w:rPr>
      <w:color w:val="0000FF"/>
      <w:u w:val="single"/>
    </w:rPr>
  </w:style>
  <w:style w:type="paragraph" w:styleId="a5">
    <w:name w:val="header"/>
    <w:basedOn w:val="a"/>
    <w:link w:val="Char"/>
    <w:unhideWhenUsed/>
    <w:rsid w:val="00C27DAF"/>
    <w:pPr>
      <w:tabs>
        <w:tab w:val="center" w:pos="4680"/>
        <w:tab w:val="right" w:pos="9360"/>
      </w:tabs>
    </w:pPr>
  </w:style>
  <w:style w:type="character" w:customStyle="1" w:styleId="Char">
    <w:name w:val="页眉 Char"/>
    <w:link w:val="a5"/>
    <w:rsid w:val="00C27DAF"/>
    <w:rPr>
      <w:sz w:val="18"/>
      <w:lang w:val="en-US" w:eastAsia="ko-KR" w:bidi="ar-SA"/>
    </w:rPr>
  </w:style>
  <w:style w:type="paragraph" w:styleId="a6">
    <w:name w:val="footer"/>
    <w:basedOn w:val="a"/>
    <w:link w:val="Char0"/>
    <w:unhideWhenUsed/>
    <w:rsid w:val="00C27DAF"/>
    <w:pPr>
      <w:tabs>
        <w:tab w:val="center" w:pos="4680"/>
        <w:tab w:val="right" w:pos="9360"/>
      </w:tabs>
    </w:pPr>
  </w:style>
  <w:style w:type="character" w:customStyle="1" w:styleId="Char0">
    <w:name w:val="页脚 Char"/>
    <w:link w:val="a6"/>
    <w:rsid w:val="00C27DAF"/>
    <w:rPr>
      <w:sz w:val="18"/>
      <w:lang w:val="en-US" w:eastAsia="ko-KR" w:bidi="ar-SA"/>
    </w:rPr>
  </w:style>
  <w:style w:type="character" w:customStyle="1" w:styleId="1Char">
    <w:name w:val="标题 1 Char"/>
    <w:link w:val="1"/>
    <w:rsid w:val="00C27DAF"/>
    <w:rPr>
      <w:b/>
      <w:kern w:val="28"/>
      <w:sz w:val="24"/>
      <w:lang w:val="en-US" w:eastAsia="ko-KR" w:bidi="ar-SA"/>
    </w:rPr>
  </w:style>
  <w:style w:type="paragraph" w:customStyle="1" w:styleId="References">
    <w:name w:val="References"/>
    <w:basedOn w:val="a"/>
    <w:rsid w:val="00C27DAF"/>
    <w:pPr>
      <w:numPr>
        <w:numId w:val="1"/>
      </w:numPr>
      <w:jc w:val="left"/>
    </w:pPr>
  </w:style>
  <w:style w:type="paragraph" w:customStyle="1" w:styleId="Author">
    <w:name w:val="Author"/>
    <w:basedOn w:val="a"/>
    <w:rsid w:val="00C27DAF"/>
    <w:pPr>
      <w:spacing w:before="60" w:after="0"/>
      <w:jc w:val="center"/>
    </w:pPr>
    <w:rPr>
      <w:rFonts w:ascii="Helvetica" w:hAnsi="Helvetica"/>
      <w:b/>
      <w:i/>
      <w:spacing w:val="-4"/>
      <w:sz w:val="24"/>
    </w:rPr>
  </w:style>
  <w:style w:type="character" w:customStyle="1" w:styleId="Abstract">
    <w:name w:val="Abstract"/>
    <w:rsid w:val="00C27DAF"/>
    <w:rPr>
      <w:rFonts w:ascii="Arial" w:hAnsi="Arial"/>
      <w:b/>
      <w:iCs/>
      <w:spacing w:val="-2"/>
      <w:sz w:val="20"/>
      <w:szCs w:val="24"/>
      <w:lang w:val="en-US" w:eastAsia="en-US" w:bidi="ar-SA"/>
    </w:rPr>
  </w:style>
  <w:style w:type="paragraph" w:styleId="a7">
    <w:name w:val="Title"/>
    <w:basedOn w:val="a"/>
    <w:qFormat/>
    <w:rsid w:val="00C27DAF"/>
    <w:pPr>
      <w:widowControl/>
      <w:overflowPunct/>
      <w:autoSpaceDE/>
      <w:autoSpaceDN/>
      <w:adjustRightInd/>
      <w:spacing w:after="0"/>
      <w:jc w:val="center"/>
      <w:textAlignment w:val="auto"/>
    </w:pPr>
    <w:rPr>
      <w:rFonts w:ascii="Helvetica" w:hAnsi="Helvetica"/>
      <w:b/>
      <w:bCs/>
      <w:spacing w:val="-2"/>
      <w:sz w:val="20"/>
      <w:szCs w:val="24"/>
      <w:lang w:eastAsia="en-US"/>
    </w:rPr>
  </w:style>
  <w:style w:type="paragraph" w:styleId="a8">
    <w:name w:val="Body Text"/>
    <w:basedOn w:val="a"/>
    <w:rsid w:val="00C27DAF"/>
    <w:pPr>
      <w:widowControl/>
      <w:overflowPunct/>
      <w:autoSpaceDE/>
      <w:autoSpaceDN/>
      <w:adjustRightInd/>
      <w:spacing w:after="0"/>
      <w:jc w:val="left"/>
      <w:textAlignment w:val="auto"/>
    </w:pPr>
    <w:rPr>
      <w:rFonts w:ascii="Helvetica" w:hAnsi="Helvetica"/>
      <w:spacing w:val="-2"/>
      <w:szCs w:val="24"/>
      <w:lang w:eastAsia="en-US"/>
    </w:rPr>
  </w:style>
  <w:style w:type="paragraph" w:styleId="30">
    <w:name w:val="Body Text 3"/>
    <w:basedOn w:val="a"/>
    <w:rsid w:val="00C27DAF"/>
    <w:pPr>
      <w:spacing w:after="120"/>
    </w:pPr>
    <w:rPr>
      <w:sz w:val="16"/>
      <w:szCs w:val="16"/>
    </w:rPr>
  </w:style>
  <w:style w:type="paragraph" w:customStyle="1" w:styleId="Affiliations">
    <w:name w:val="Affiliations"/>
    <w:basedOn w:val="a"/>
    <w:rsid w:val="00C27DAF"/>
    <w:pPr>
      <w:jc w:val="center"/>
    </w:pPr>
    <w:rPr>
      <w:rFonts w:ascii="Helvetica" w:eastAsia="MS Mincho" w:hAnsi="Helvetica"/>
      <w:b/>
      <w:sz w:val="20"/>
    </w:rPr>
  </w:style>
  <w:style w:type="paragraph" w:styleId="a9">
    <w:name w:val="Balloon Text"/>
    <w:basedOn w:val="a"/>
    <w:link w:val="Char1"/>
    <w:rsid w:val="00F338DF"/>
    <w:pPr>
      <w:spacing w:after="0"/>
    </w:pPr>
    <w:rPr>
      <w:rFonts w:ascii="Tahoma" w:hAnsi="Tahoma" w:cs="Tahoma"/>
      <w:sz w:val="16"/>
      <w:szCs w:val="16"/>
    </w:rPr>
  </w:style>
  <w:style w:type="character" w:customStyle="1" w:styleId="Char1">
    <w:name w:val="批注框文本 Char"/>
    <w:link w:val="a9"/>
    <w:rsid w:val="00F338DF"/>
    <w:rPr>
      <w:rFonts w:ascii="Tahoma" w:hAnsi="Tahoma" w:cs="Tahoma"/>
      <w:sz w:val="16"/>
      <w:szCs w:val="16"/>
      <w:lang w:eastAsia="ko-KR"/>
    </w:rPr>
  </w:style>
  <w:style w:type="character" w:styleId="aa">
    <w:name w:val="Strong"/>
    <w:uiPriority w:val="22"/>
    <w:qFormat/>
    <w:rsid w:val="00A6095D"/>
    <w:rPr>
      <w:b/>
      <w:bCs/>
    </w:rPr>
  </w:style>
  <w:style w:type="paragraph" w:styleId="HTML">
    <w:name w:val="HTML Preformatted"/>
    <w:basedOn w:val="a"/>
    <w:link w:val="HTMLChar"/>
    <w:uiPriority w:val="99"/>
    <w:unhideWhenUsed/>
    <w:rsid w:val="00506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Calibri" w:hAnsi="Courier New" w:cs="Courier New"/>
      <w:sz w:val="20"/>
      <w:lang w:eastAsia="en-US"/>
    </w:rPr>
  </w:style>
  <w:style w:type="character" w:customStyle="1" w:styleId="HTMLChar">
    <w:name w:val="HTML 预设格式 Char"/>
    <w:link w:val="HTML"/>
    <w:uiPriority w:val="99"/>
    <w:rsid w:val="00506D46"/>
    <w:rPr>
      <w:rFonts w:ascii="Courier New" w:eastAsia="Calibri" w:hAnsi="Courier New" w:cs="Courier New"/>
    </w:rPr>
  </w:style>
  <w:style w:type="paragraph" w:styleId="ab">
    <w:name w:val="List Paragraph"/>
    <w:basedOn w:val="a"/>
    <w:uiPriority w:val="34"/>
    <w:qFormat/>
    <w:rsid w:val="00506D46"/>
    <w:pPr>
      <w:widowControl/>
      <w:overflowPunct/>
      <w:autoSpaceDE/>
      <w:autoSpaceDN/>
      <w:adjustRightInd/>
      <w:spacing w:after="0"/>
      <w:ind w:left="720"/>
      <w:jc w:val="left"/>
      <w:textAlignment w:val="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679757">
      <w:bodyDiv w:val="1"/>
      <w:marLeft w:val="0"/>
      <w:marRight w:val="0"/>
      <w:marTop w:val="0"/>
      <w:marBottom w:val="0"/>
      <w:divBdr>
        <w:top w:val="none" w:sz="0" w:space="0" w:color="auto"/>
        <w:left w:val="none" w:sz="0" w:space="0" w:color="auto"/>
        <w:bottom w:val="none" w:sz="0" w:space="0" w:color="auto"/>
        <w:right w:val="none" w:sz="0" w:space="0" w:color="auto"/>
      </w:divBdr>
    </w:div>
    <w:div w:id="560138734">
      <w:bodyDiv w:val="1"/>
      <w:marLeft w:val="0"/>
      <w:marRight w:val="0"/>
      <w:marTop w:val="0"/>
      <w:marBottom w:val="0"/>
      <w:divBdr>
        <w:top w:val="none" w:sz="0" w:space="0" w:color="auto"/>
        <w:left w:val="none" w:sz="0" w:space="0" w:color="auto"/>
        <w:bottom w:val="none" w:sz="0" w:space="0" w:color="auto"/>
        <w:right w:val="none" w:sz="0" w:space="0" w:color="auto"/>
      </w:divBdr>
    </w:div>
    <w:div w:id="1039277525">
      <w:bodyDiv w:val="1"/>
      <w:marLeft w:val="0"/>
      <w:marRight w:val="0"/>
      <w:marTop w:val="0"/>
      <w:marBottom w:val="0"/>
      <w:divBdr>
        <w:top w:val="none" w:sz="0" w:space="0" w:color="auto"/>
        <w:left w:val="none" w:sz="0" w:space="0" w:color="auto"/>
        <w:bottom w:val="none" w:sz="0" w:space="0" w:color="auto"/>
        <w:right w:val="none" w:sz="0" w:space="0" w:color="auto"/>
      </w:divBdr>
    </w:div>
    <w:div w:id="19964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image" Target="../media/image12.pn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zh-CN" sz="800" b="0" i="0" baseline="0">
                <a:effectLst/>
                <a:latin typeface="Times New Roman" panose="02020603050405020304" pitchFamily="18" charset="0"/>
                <a:cs typeface="Times New Roman" panose="02020603050405020304" pitchFamily="18" charset="0"/>
              </a:rPr>
              <a:t>Change in Color Coordinates of the 2nit-W32 Pattern After Electric Field Testing</a:t>
            </a:r>
            <a:endParaRPr lang="zh-CN" altLang="zh-CN" sz="200" b="0">
              <a:effectLst/>
              <a:latin typeface="Times New Roman" panose="02020603050405020304" pitchFamily="18" charset="0"/>
              <a:cs typeface="Times New Roman" panose="02020603050405020304" pitchFamily="18" charset="0"/>
            </a:endParaRPr>
          </a:p>
        </c:rich>
      </c:tx>
      <c:layout>
        <c:manualLayout>
          <c:xMode val="edge"/>
          <c:yMode val="edge"/>
          <c:x val="0.17125864423725803"/>
          <c:y val="3.4485469384775624E-3"/>
        </c:manualLayout>
      </c:layout>
      <c:overlay val="0"/>
      <c:spPr>
        <a:noFill/>
        <a:ln w="25400">
          <a:noFill/>
        </a:ln>
      </c:spPr>
    </c:title>
    <c:autoTitleDeleted val="0"/>
    <c:plotArea>
      <c:layout>
        <c:manualLayout>
          <c:layoutTarget val="inner"/>
          <c:xMode val="edge"/>
          <c:yMode val="edge"/>
          <c:x val="0.14278447332495373"/>
          <c:y val="0.12544057903469882"/>
          <c:w val="0.79535202496221402"/>
          <c:h val="0.73614843373325289"/>
        </c:manualLayout>
      </c:layout>
      <c:scatterChart>
        <c:scatterStyle val="lineMarker"/>
        <c:varyColors val="0"/>
        <c:ser>
          <c:idx val="13"/>
          <c:order val="0"/>
          <c:tx>
            <c:v>14#-T120</c:v>
          </c:tx>
          <c:marker>
            <c:spPr>
              <a:solidFill>
                <a:schemeClr val="accent5"/>
              </a:solidFill>
              <a:ln>
                <a:noFill/>
              </a:ln>
            </c:spPr>
          </c:marker>
          <c:xVal>
            <c:numRef>
              <c:f>'2nitW32'!#REF!</c:f>
            </c:numRef>
          </c:xVal>
          <c:yVal>
            <c:numRef>
              <c:f>'2nitW32'!#REF!</c:f>
            </c:numRef>
          </c:yVal>
          <c:smooth val="0"/>
        </c:ser>
        <c:ser>
          <c:idx val="14"/>
          <c:order val="1"/>
          <c:tx>
            <c:v>15#-T120</c:v>
          </c:tx>
          <c:marker>
            <c:spPr>
              <a:solidFill>
                <a:schemeClr val="accent5"/>
              </a:solidFill>
              <a:ln>
                <a:noFill/>
              </a:ln>
            </c:spPr>
          </c:marker>
          <c:xVal>
            <c:numRef>
              <c:f>'2nitW32'!#REF!</c:f>
            </c:numRef>
          </c:xVal>
          <c:yVal>
            <c:numRef>
              <c:f>'2nitW32'!#REF!</c:f>
            </c:numRef>
          </c:yVal>
          <c:smooth val="0"/>
        </c:ser>
        <c:ser>
          <c:idx val="15"/>
          <c:order val="2"/>
          <c:tx>
            <c:v>16#-T120</c:v>
          </c:tx>
          <c:marker>
            <c:spPr>
              <a:solidFill>
                <a:schemeClr val="accent5"/>
              </a:solidFill>
              <a:ln>
                <a:noFill/>
              </a:ln>
            </c:spPr>
          </c:marker>
          <c:xVal>
            <c:numRef>
              <c:f>'2nitW32'!#REF!</c:f>
            </c:numRef>
          </c:xVal>
          <c:yVal>
            <c:numRef>
              <c:f>'2nitW32'!#REF!</c:f>
            </c:numRef>
          </c:yVal>
          <c:smooth val="0"/>
        </c:ser>
        <c:ser>
          <c:idx val="16"/>
          <c:order val="3"/>
          <c:tx>
            <c:v>17#-T120</c:v>
          </c:tx>
          <c:marker>
            <c:spPr>
              <a:solidFill>
                <a:schemeClr val="accent5"/>
              </a:solidFill>
              <a:ln>
                <a:noFill/>
              </a:ln>
            </c:spPr>
          </c:marker>
          <c:xVal>
            <c:numRef>
              <c:f>'2nitW32'!#REF!</c:f>
            </c:numRef>
          </c:xVal>
          <c:yVal>
            <c:numRef>
              <c:f>'2nitW32'!#REF!</c:f>
            </c:numRef>
          </c:yVal>
          <c:smooth val="0"/>
        </c:ser>
        <c:ser>
          <c:idx val="17"/>
          <c:order val="4"/>
          <c:tx>
            <c:v>18#-T120</c:v>
          </c:tx>
          <c:marker>
            <c:spPr>
              <a:solidFill>
                <a:schemeClr val="accent5"/>
              </a:solidFill>
              <a:ln>
                <a:noFill/>
              </a:ln>
            </c:spPr>
          </c:marker>
          <c:xVal>
            <c:numRef>
              <c:f>'2nitW32'!#REF!</c:f>
            </c:numRef>
          </c:xVal>
          <c:yVal>
            <c:numRef>
              <c:f>'2nitW32'!#REF!</c:f>
            </c:numRef>
          </c:yVal>
          <c:smooth val="0"/>
        </c:ser>
        <c:ser>
          <c:idx val="18"/>
          <c:order val="5"/>
          <c:tx>
            <c:v>19#-T120</c:v>
          </c:tx>
          <c:marker>
            <c:spPr>
              <a:solidFill>
                <a:schemeClr val="accent5"/>
              </a:solidFill>
              <a:ln>
                <a:noFill/>
              </a:ln>
            </c:spPr>
          </c:marker>
          <c:xVal>
            <c:numRef>
              <c:f>'2nitW32'!#REF!</c:f>
            </c:numRef>
          </c:xVal>
          <c:yVal>
            <c:numRef>
              <c:f>'2nitW32'!#REF!</c:f>
            </c:numRef>
          </c:yVal>
          <c:smooth val="0"/>
        </c:ser>
        <c:ser>
          <c:idx val="19"/>
          <c:order val="6"/>
          <c:tx>
            <c:v>20#-T120</c:v>
          </c:tx>
          <c:marker>
            <c:spPr>
              <a:solidFill>
                <a:schemeClr val="accent5"/>
              </a:solidFill>
              <a:ln>
                <a:noFill/>
              </a:ln>
            </c:spPr>
          </c:marker>
          <c:xVal>
            <c:numRef>
              <c:f>'2nitW32'!#REF!</c:f>
            </c:numRef>
          </c:xVal>
          <c:yVal>
            <c:numRef>
              <c:f>'2nitW32'!#REF!</c:f>
            </c:numRef>
          </c:yVal>
          <c:smooth val="0"/>
        </c:ser>
        <c:ser>
          <c:idx val="20"/>
          <c:order val="7"/>
          <c:tx>
            <c:v>21#-T120</c:v>
          </c:tx>
          <c:marker>
            <c:spPr>
              <a:solidFill>
                <a:schemeClr val="accent5"/>
              </a:solidFill>
              <a:ln>
                <a:noFill/>
              </a:ln>
            </c:spPr>
          </c:marker>
          <c:xVal>
            <c:numRef>
              <c:f>'2nitW32'!#REF!</c:f>
            </c:numRef>
          </c:xVal>
          <c:yVal>
            <c:numRef>
              <c:f>'2nitW32'!#REF!</c:f>
            </c:numRef>
          </c:yVal>
          <c:smooth val="0"/>
        </c:ser>
        <c:ser>
          <c:idx val="21"/>
          <c:order val="8"/>
          <c:tx>
            <c:v>22#-T120</c:v>
          </c:tx>
          <c:marker>
            <c:spPr>
              <a:solidFill>
                <a:schemeClr val="accent5"/>
              </a:solidFill>
              <a:ln>
                <a:noFill/>
              </a:ln>
            </c:spPr>
          </c:marker>
          <c:xVal>
            <c:numRef>
              <c:f>'2nitW32'!#REF!</c:f>
            </c:numRef>
          </c:xVal>
          <c:yVal>
            <c:numRef>
              <c:f>'2nitW32'!#REF!</c:f>
            </c:numRef>
          </c:yVal>
          <c:smooth val="0"/>
        </c:ser>
        <c:ser>
          <c:idx val="22"/>
          <c:order val="9"/>
          <c:tx>
            <c:v>23#-T120</c:v>
          </c:tx>
          <c:marker>
            <c:spPr>
              <a:solidFill>
                <a:schemeClr val="accent5"/>
              </a:solidFill>
              <a:ln>
                <a:noFill/>
              </a:ln>
            </c:spPr>
          </c:marker>
          <c:xVal>
            <c:numRef>
              <c:f>'2nitW32'!#REF!</c:f>
            </c:numRef>
          </c:xVal>
          <c:yVal>
            <c:numRef>
              <c:f>'2nitW32'!#REF!</c:f>
            </c:numRef>
          </c:yVal>
          <c:smooth val="0"/>
        </c:ser>
        <c:ser>
          <c:idx val="23"/>
          <c:order val="10"/>
          <c:tx>
            <c:v>24#-T120</c:v>
          </c:tx>
          <c:marker>
            <c:spPr>
              <a:solidFill>
                <a:schemeClr val="accent5"/>
              </a:solidFill>
              <a:ln>
                <a:noFill/>
              </a:ln>
            </c:spPr>
          </c:marker>
          <c:xVal>
            <c:numRef>
              <c:f>'2nitW32'!#REF!</c:f>
            </c:numRef>
          </c:xVal>
          <c:yVal>
            <c:numRef>
              <c:f>'2nitW32'!#REF!</c:f>
            </c:numRef>
          </c:yVal>
          <c:smooth val="0"/>
        </c:ser>
        <c:ser>
          <c:idx val="24"/>
          <c:order val="11"/>
          <c:tx>
            <c:v>25#-T120</c:v>
          </c:tx>
          <c:marker>
            <c:spPr>
              <a:solidFill>
                <a:schemeClr val="accent5"/>
              </a:solidFill>
              <a:ln>
                <a:noFill/>
              </a:ln>
            </c:spPr>
          </c:marker>
          <c:xVal>
            <c:numRef>
              <c:f>'2nitW32'!#REF!</c:f>
            </c:numRef>
          </c:xVal>
          <c:yVal>
            <c:numRef>
              <c:f>'2nitW32'!#REF!</c:f>
            </c:numRef>
          </c:yVal>
          <c:smooth val="0"/>
        </c:ser>
        <c:ser>
          <c:idx val="25"/>
          <c:order val="12"/>
          <c:tx>
            <c:v>26#-T120</c:v>
          </c:tx>
          <c:marker>
            <c:spPr>
              <a:solidFill>
                <a:schemeClr val="accent5"/>
              </a:solidFill>
              <a:ln>
                <a:noFill/>
              </a:ln>
            </c:spPr>
          </c:marker>
          <c:xVal>
            <c:numRef>
              <c:f>'2nitW32'!#REF!</c:f>
            </c:numRef>
          </c:xVal>
          <c:yVal>
            <c:numRef>
              <c:f>'2nitW32'!#REF!</c:f>
            </c:numRef>
          </c:yVal>
          <c:smooth val="0"/>
        </c:ser>
        <c:ser>
          <c:idx val="26"/>
          <c:order val="13"/>
          <c:tx>
            <c:v>27#-T120</c:v>
          </c:tx>
          <c:marker>
            <c:spPr>
              <a:solidFill>
                <a:schemeClr val="accent5"/>
              </a:solidFill>
              <a:ln>
                <a:noFill/>
              </a:ln>
            </c:spPr>
          </c:marker>
          <c:xVal>
            <c:numRef>
              <c:f>'2nitW32'!#REF!</c:f>
            </c:numRef>
          </c:xVal>
          <c:yVal>
            <c:numRef>
              <c:f>'2nitW32'!#REF!</c:f>
            </c:numRef>
          </c:yVal>
          <c:smooth val="0"/>
        </c:ser>
        <c:ser>
          <c:idx val="27"/>
          <c:order val="14"/>
          <c:tx>
            <c:v>28#-T120</c:v>
          </c:tx>
          <c:marker>
            <c:spPr>
              <a:solidFill>
                <a:schemeClr val="accent5"/>
              </a:solidFill>
              <a:ln>
                <a:noFill/>
              </a:ln>
            </c:spPr>
          </c:marker>
          <c:xVal>
            <c:numRef>
              <c:f>'2nitW32'!#REF!</c:f>
            </c:numRef>
          </c:xVal>
          <c:yVal>
            <c:numRef>
              <c:f>'2nitW32'!#REF!</c:f>
            </c:numRef>
          </c:yVal>
          <c:smooth val="0"/>
        </c:ser>
        <c:ser>
          <c:idx val="28"/>
          <c:order val="15"/>
          <c:tx>
            <c:v>29#-T120</c:v>
          </c:tx>
          <c:marker>
            <c:spPr>
              <a:solidFill>
                <a:schemeClr val="accent5"/>
              </a:solidFill>
              <a:ln>
                <a:noFill/>
              </a:ln>
            </c:spPr>
          </c:marker>
          <c:xVal>
            <c:numRef>
              <c:f>'2nitW32'!#REF!</c:f>
            </c:numRef>
          </c:xVal>
          <c:yVal>
            <c:numRef>
              <c:f>'2nitW32'!#REF!</c:f>
            </c:numRef>
          </c:yVal>
          <c:smooth val="0"/>
        </c:ser>
        <c:ser>
          <c:idx val="29"/>
          <c:order val="16"/>
          <c:tx>
            <c:v>30#-T120</c:v>
          </c:tx>
          <c:marker>
            <c:spPr>
              <a:solidFill>
                <a:schemeClr val="accent5"/>
              </a:solidFill>
              <a:ln>
                <a:noFill/>
              </a:ln>
            </c:spPr>
          </c:marker>
          <c:xVal>
            <c:numRef>
              <c:f>'2nitW32'!#REF!</c:f>
            </c:numRef>
          </c:xVal>
          <c:yVal>
            <c:numRef>
              <c:f>'2nitW32'!#REF!</c:f>
            </c:numRef>
          </c:yVal>
          <c:smooth val="0"/>
        </c:ser>
        <c:ser>
          <c:idx val="30"/>
          <c:order val="17"/>
          <c:tx>
            <c:v>31#-T120</c:v>
          </c:tx>
          <c:marker>
            <c:spPr>
              <a:solidFill>
                <a:schemeClr val="accent5"/>
              </a:solidFill>
              <a:ln>
                <a:noFill/>
              </a:ln>
            </c:spPr>
          </c:marker>
          <c:xVal>
            <c:numRef>
              <c:f>'2nitW32'!#REF!</c:f>
            </c:numRef>
          </c:xVal>
          <c:yVal>
            <c:numRef>
              <c:f>'2nitW32'!#REF!</c:f>
            </c:numRef>
          </c:yVal>
          <c:smooth val="0"/>
        </c:ser>
        <c:ser>
          <c:idx val="31"/>
          <c:order val="18"/>
          <c:tx>
            <c:v>32#-T120</c:v>
          </c:tx>
          <c:marker>
            <c:spPr>
              <a:solidFill>
                <a:schemeClr val="accent5"/>
              </a:solidFill>
              <a:ln>
                <a:noFill/>
              </a:ln>
            </c:spPr>
          </c:marker>
          <c:xVal>
            <c:numRef>
              <c:f>'2nitW32'!#REF!</c:f>
            </c:numRef>
          </c:xVal>
          <c:yVal>
            <c:numRef>
              <c:f>'2nitW32'!#REF!</c:f>
            </c:numRef>
          </c:yVal>
          <c:smooth val="0"/>
        </c:ser>
        <c:ser>
          <c:idx val="45"/>
          <c:order val="19"/>
          <c:tx>
            <c:strRef>
              <c:f>'2nitW32'!#REF!</c:f>
              <c:strCache>
                <c:ptCount val="1"/>
              </c:strCache>
            </c:strRef>
          </c:tx>
          <c:marker>
            <c:spPr>
              <a:solidFill>
                <a:schemeClr val="tx1"/>
              </a:solidFill>
              <a:ln>
                <a:noFill/>
              </a:ln>
            </c:spPr>
          </c:marker>
          <c:xVal>
            <c:numRef>
              <c:f>'2nitW32'!#REF!</c:f>
            </c:numRef>
          </c:xVal>
          <c:yVal>
            <c:numRef>
              <c:f>'2nitW32'!#REF!</c:f>
            </c:numRef>
          </c:yVal>
          <c:smooth val="0"/>
        </c:ser>
        <c:ser>
          <c:idx val="46"/>
          <c:order val="20"/>
          <c:tx>
            <c:strRef>
              <c:f>'2nitW32'!#REF!</c:f>
              <c:strCache>
                <c:ptCount val="1"/>
              </c:strCache>
            </c:strRef>
          </c:tx>
          <c:marker>
            <c:spPr>
              <a:ln>
                <a:noFill/>
              </a:ln>
            </c:spPr>
          </c:marker>
          <c:xVal>
            <c:numRef>
              <c:f>'2nitW32'!#REF!</c:f>
            </c:numRef>
          </c:xVal>
          <c:yVal>
            <c:numRef>
              <c:f>'2nitW32'!#REF!</c:f>
            </c:numRef>
          </c:yVal>
          <c:smooth val="0"/>
        </c:ser>
        <c:ser>
          <c:idx val="47"/>
          <c:order val="21"/>
          <c:tx>
            <c:strRef>
              <c:f>'2nitW32'!#REF!</c:f>
              <c:strCache>
                <c:ptCount val="1"/>
              </c:strCache>
            </c:strRef>
          </c:tx>
          <c:marker>
            <c:spPr>
              <a:solidFill>
                <a:schemeClr val="tx1"/>
              </a:solidFill>
              <a:ln>
                <a:noFill/>
              </a:ln>
            </c:spPr>
          </c:marker>
          <c:xVal>
            <c:numRef>
              <c:f>'2nitW32'!#REF!</c:f>
            </c:numRef>
          </c:xVal>
          <c:yVal>
            <c:numRef>
              <c:f>'2nitW32'!#REF!</c:f>
            </c:numRef>
          </c:yVal>
          <c:smooth val="0"/>
        </c:ser>
        <c:ser>
          <c:idx val="48"/>
          <c:order val="22"/>
          <c:tx>
            <c:strRef>
              <c:f>'2nitW32'!#REF!</c:f>
              <c:strCache>
                <c:ptCount val="1"/>
              </c:strCache>
            </c:strRef>
          </c:tx>
          <c:marker>
            <c:spPr>
              <a:solidFill>
                <a:schemeClr val="tx1"/>
              </a:solidFill>
              <a:ln>
                <a:noFill/>
              </a:ln>
            </c:spPr>
          </c:marker>
          <c:xVal>
            <c:numRef>
              <c:f>'2nitW32'!#REF!</c:f>
            </c:numRef>
          </c:xVal>
          <c:yVal>
            <c:numRef>
              <c:f>'2nitW32'!#REF!</c:f>
            </c:numRef>
          </c:yVal>
          <c:smooth val="0"/>
        </c:ser>
        <c:ser>
          <c:idx val="49"/>
          <c:order val="23"/>
          <c:tx>
            <c:strRef>
              <c:f>'2nitW32'!#REF!</c:f>
              <c:strCache>
                <c:ptCount val="1"/>
              </c:strCache>
            </c:strRef>
          </c:tx>
          <c:marker>
            <c:spPr>
              <a:solidFill>
                <a:schemeClr val="tx1"/>
              </a:solidFill>
              <a:ln>
                <a:noFill/>
              </a:ln>
            </c:spPr>
          </c:marker>
          <c:xVal>
            <c:numRef>
              <c:f>'2nitW32'!#REF!</c:f>
            </c:numRef>
          </c:xVal>
          <c:yVal>
            <c:numRef>
              <c:f>'2nitW32'!#REF!</c:f>
            </c:numRef>
          </c:yVal>
          <c:smooth val="0"/>
        </c:ser>
        <c:ser>
          <c:idx val="50"/>
          <c:order val="24"/>
          <c:tx>
            <c:strRef>
              <c:f>'2nitW32'!#REF!</c:f>
              <c:strCache>
                <c:ptCount val="1"/>
              </c:strCache>
            </c:strRef>
          </c:tx>
          <c:marker>
            <c:spPr>
              <a:solidFill>
                <a:schemeClr val="tx1"/>
              </a:solidFill>
              <a:ln>
                <a:noFill/>
              </a:ln>
            </c:spPr>
          </c:marker>
          <c:xVal>
            <c:numRef>
              <c:f>'2nitW32'!#REF!</c:f>
            </c:numRef>
          </c:xVal>
          <c:yVal>
            <c:numRef>
              <c:f>'2nitW32'!#REF!</c:f>
            </c:numRef>
          </c:yVal>
          <c:smooth val="0"/>
        </c:ser>
        <c:ser>
          <c:idx val="51"/>
          <c:order val="25"/>
          <c:tx>
            <c:strRef>
              <c:f>'2nitW32'!#REF!</c:f>
              <c:strCache>
                <c:ptCount val="1"/>
              </c:strCache>
            </c:strRef>
          </c:tx>
          <c:marker>
            <c:spPr>
              <a:solidFill>
                <a:schemeClr val="tx1"/>
              </a:solidFill>
              <a:ln>
                <a:noFill/>
              </a:ln>
            </c:spPr>
          </c:marker>
          <c:xVal>
            <c:numRef>
              <c:f>'2nitW32'!#REF!</c:f>
            </c:numRef>
          </c:xVal>
          <c:yVal>
            <c:numRef>
              <c:f>'2nitW32'!#REF!</c:f>
            </c:numRef>
          </c:yVal>
          <c:smooth val="0"/>
        </c:ser>
        <c:ser>
          <c:idx val="52"/>
          <c:order val="26"/>
          <c:tx>
            <c:strRef>
              <c:f>'2nitW32'!#REF!</c:f>
              <c:strCache>
                <c:ptCount val="1"/>
              </c:strCache>
            </c:strRef>
          </c:tx>
          <c:marker>
            <c:spPr>
              <a:solidFill>
                <a:schemeClr val="tx1"/>
              </a:solidFill>
              <a:ln>
                <a:noFill/>
              </a:ln>
            </c:spPr>
          </c:marker>
          <c:xVal>
            <c:numRef>
              <c:f>'2nitW32'!#REF!</c:f>
            </c:numRef>
          </c:xVal>
          <c:yVal>
            <c:numRef>
              <c:f>'2nitW32'!#REF!</c:f>
            </c:numRef>
          </c:yVal>
          <c:smooth val="0"/>
        </c:ser>
        <c:ser>
          <c:idx val="53"/>
          <c:order val="27"/>
          <c:tx>
            <c:strRef>
              <c:f>'2nitW32'!#REF!</c:f>
              <c:strCache>
                <c:ptCount val="1"/>
              </c:strCache>
            </c:strRef>
          </c:tx>
          <c:marker>
            <c:spPr>
              <a:solidFill>
                <a:schemeClr val="tx1"/>
              </a:solidFill>
              <a:ln>
                <a:noFill/>
              </a:ln>
            </c:spPr>
          </c:marker>
          <c:xVal>
            <c:numRef>
              <c:f>'2nitW32'!#REF!</c:f>
            </c:numRef>
          </c:xVal>
          <c:yVal>
            <c:numRef>
              <c:f>'2nitW32'!#REF!</c:f>
            </c:numRef>
          </c:yVal>
          <c:smooth val="0"/>
        </c:ser>
        <c:ser>
          <c:idx val="54"/>
          <c:order val="28"/>
          <c:tx>
            <c:strRef>
              <c:f>'2nitW32'!#REF!</c:f>
              <c:strCache>
                <c:ptCount val="1"/>
              </c:strCache>
            </c:strRef>
          </c:tx>
          <c:marker>
            <c:spPr>
              <a:solidFill>
                <a:schemeClr val="tx1"/>
              </a:solidFill>
              <a:ln>
                <a:noFill/>
              </a:ln>
            </c:spPr>
          </c:marker>
          <c:xVal>
            <c:numRef>
              <c:f>'2nitW32'!#REF!</c:f>
            </c:numRef>
          </c:xVal>
          <c:yVal>
            <c:numRef>
              <c:f>'2nitW32'!#REF!</c:f>
            </c:numRef>
          </c:yVal>
          <c:smooth val="0"/>
        </c:ser>
        <c:ser>
          <c:idx val="55"/>
          <c:order val="29"/>
          <c:tx>
            <c:strRef>
              <c:f>'2nitW32'!#REF!</c:f>
              <c:strCache>
                <c:ptCount val="1"/>
              </c:strCache>
            </c:strRef>
          </c:tx>
          <c:marker>
            <c:spPr>
              <a:solidFill>
                <a:schemeClr val="tx1"/>
              </a:solidFill>
              <a:ln>
                <a:noFill/>
              </a:ln>
            </c:spPr>
          </c:marker>
          <c:xVal>
            <c:numRef>
              <c:f>'2nitW32'!#REF!</c:f>
            </c:numRef>
          </c:xVal>
          <c:yVal>
            <c:numRef>
              <c:f>'2nitW32'!#REF!</c:f>
            </c:numRef>
          </c:yVal>
          <c:smooth val="0"/>
        </c:ser>
        <c:ser>
          <c:idx val="56"/>
          <c:order val="30"/>
          <c:tx>
            <c:strRef>
              <c:f>'2nitW32'!#REF!</c:f>
              <c:strCache>
                <c:ptCount val="1"/>
              </c:strCache>
            </c:strRef>
          </c:tx>
          <c:marker>
            <c:spPr>
              <a:solidFill>
                <a:schemeClr val="tx1"/>
              </a:solidFill>
              <a:ln>
                <a:noFill/>
              </a:ln>
            </c:spPr>
          </c:marker>
          <c:xVal>
            <c:numRef>
              <c:f>'2nitW32'!#REF!</c:f>
            </c:numRef>
          </c:xVal>
          <c:yVal>
            <c:numRef>
              <c:f>'2nitW32'!#REF!</c:f>
            </c:numRef>
          </c:yVal>
          <c:smooth val="0"/>
        </c:ser>
        <c:ser>
          <c:idx val="57"/>
          <c:order val="31"/>
          <c:tx>
            <c:strRef>
              <c:f>'2nitW32'!#REF!</c:f>
              <c:strCache>
                <c:ptCount val="1"/>
              </c:strCache>
            </c:strRef>
          </c:tx>
          <c:marker>
            <c:spPr>
              <a:solidFill>
                <a:schemeClr val="tx1"/>
              </a:solidFill>
              <a:ln>
                <a:noFill/>
              </a:ln>
            </c:spPr>
          </c:marker>
          <c:xVal>
            <c:numRef>
              <c:f>'2nitW32'!#REF!</c:f>
            </c:numRef>
          </c:xVal>
          <c:yVal>
            <c:numRef>
              <c:f>'2nitW32'!#REF!</c:f>
            </c:numRef>
          </c:yVal>
          <c:smooth val="0"/>
        </c:ser>
        <c:ser>
          <c:idx val="58"/>
          <c:order val="32"/>
          <c:tx>
            <c:strRef>
              <c:f>'2nitW32'!#REF!</c:f>
              <c:strCache>
                <c:ptCount val="1"/>
              </c:strCache>
            </c:strRef>
          </c:tx>
          <c:marker>
            <c:spPr>
              <a:solidFill>
                <a:schemeClr val="tx1"/>
              </a:solidFill>
              <a:ln>
                <a:noFill/>
              </a:ln>
            </c:spPr>
          </c:marker>
          <c:xVal>
            <c:numRef>
              <c:f>'2nitW32'!#REF!</c:f>
            </c:numRef>
          </c:xVal>
          <c:yVal>
            <c:numRef>
              <c:f>'2nitW32'!#REF!</c:f>
            </c:numRef>
          </c:yVal>
          <c:smooth val="0"/>
        </c:ser>
        <c:ser>
          <c:idx val="59"/>
          <c:order val="33"/>
          <c:tx>
            <c:strRef>
              <c:f>'2nitW32'!#REF!</c:f>
              <c:strCache>
                <c:ptCount val="1"/>
              </c:strCache>
            </c:strRef>
          </c:tx>
          <c:marker>
            <c:spPr>
              <a:solidFill>
                <a:schemeClr val="tx1"/>
              </a:solidFill>
              <a:ln>
                <a:noFill/>
              </a:ln>
            </c:spPr>
          </c:marker>
          <c:xVal>
            <c:numRef>
              <c:f>'2nitW32'!#REF!</c:f>
            </c:numRef>
          </c:xVal>
          <c:yVal>
            <c:numRef>
              <c:f>'2nitW32'!#REF!</c:f>
            </c:numRef>
          </c:yVal>
          <c:smooth val="0"/>
        </c:ser>
        <c:ser>
          <c:idx val="60"/>
          <c:order val="34"/>
          <c:tx>
            <c:strRef>
              <c:f>'2nitW32'!#REF!</c:f>
              <c:strCache>
                <c:ptCount val="1"/>
              </c:strCache>
            </c:strRef>
          </c:tx>
          <c:marker>
            <c:spPr>
              <a:solidFill>
                <a:schemeClr val="tx1"/>
              </a:solidFill>
              <a:ln>
                <a:noFill/>
              </a:ln>
            </c:spPr>
          </c:marker>
          <c:xVal>
            <c:numRef>
              <c:f>'2nitW32'!#REF!</c:f>
            </c:numRef>
          </c:xVal>
          <c:yVal>
            <c:numRef>
              <c:f>'2nitW32'!#REF!</c:f>
            </c:numRef>
          </c:yVal>
          <c:smooth val="0"/>
        </c:ser>
        <c:ser>
          <c:idx val="61"/>
          <c:order val="35"/>
          <c:tx>
            <c:strRef>
              <c:f>'2nitW32'!#REF!</c:f>
              <c:strCache>
                <c:ptCount val="1"/>
              </c:strCache>
            </c:strRef>
          </c:tx>
          <c:marker>
            <c:spPr>
              <a:solidFill>
                <a:schemeClr val="tx1"/>
              </a:solidFill>
              <a:ln>
                <a:noFill/>
              </a:ln>
            </c:spPr>
          </c:marker>
          <c:xVal>
            <c:numRef>
              <c:f>'2nitW32'!#REF!</c:f>
            </c:numRef>
          </c:xVal>
          <c:yVal>
            <c:numRef>
              <c:f>'2nitW32'!#REF!</c:f>
            </c:numRef>
          </c:yVal>
          <c:smooth val="0"/>
        </c:ser>
        <c:ser>
          <c:idx val="62"/>
          <c:order val="36"/>
          <c:tx>
            <c:strRef>
              <c:f>'2nitW32'!#REF!</c:f>
              <c:strCache>
                <c:ptCount val="1"/>
              </c:strCache>
            </c:strRef>
          </c:tx>
          <c:marker>
            <c:spPr>
              <a:solidFill>
                <a:schemeClr val="tx1"/>
              </a:solidFill>
              <a:ln>
                <a:noFill/>
              </a:ln>
            </c:spPr>
          </c:marker>
          <c:xVal>
            <c:numRef>
              <c:f>'2nitW32'!#REF!</c:f>
            </c:numRef>
          </c:xVal>
          <c:yVal>
            <c:numRef>
              <c:f>'2nitW32'!#REF!</c:f>
            </c:numRef>
          </c:yVal>
          <c:smooth val="0"/>
        </c:ser>
        <c:ser>
          <c:idx val="63"/>
          <c:order val="37"/>
          <c:tx>
            <c:strRef>
              <c:f>'2nitW32'!#REF!</c:f>
              <c:strCache>
                <c:ptCount val="1"/>
              </c:strCache>
            </c:strRef>
          </c:tx>
          <c:marker>
            <c:spPr>
              <a:solidFill>
                <a:schemeClr val="tx1"/>
              </a:solidFill>
              <a:ln>
                <a:noFill/>
              </a:ln>
            </c:spPr>
          </c:marker>
          <c:xVal>
            <c:numRef>
              <c:f>'2nitW32'!#REF!</c:f>
            </c:numRef>
          </c:xVal>
          <c:yVal>
            <c:numRef>
              <c:f>'2nitW32'!#REF!</c:f>
            </c:numRef>
          </c:yVal>
          <c:smooth val="0"/>
        </c:ser>
        <c:ser>
          <c:idx val="69"/>
          <c:order val="38"/>
          <c:tx>
            <c:v>14#-T240</c:v>
          </c:tx>
          <c:marker>
            <c:spPr>
              <a:solidFill>
                <a:schemeClr val="accent4"/>
              </a:solidFill>
              <a:ln>
                <a:solidFill>
                  <a:schemeClr val="accent4"/>
                </a:solidFill>
              </a:ln>
            </c:spPr>
          </c:marker>
          <c:xVal>
            <c:numRef>
              <c:f>'2nitW32'!#REF!</c:f>
            </c:numRef>
          </c:xVal>
          <c:yVal>
            <c:numRef>
              <c:f>'2nitW32'!#REF!</c:f>
            </c:numRef>
          </c:yVal>
          <c:smooth val="0"/>
        </c:ser>
        <c:ser>
          <c:idx val="70"/>
          <c:order val="39"/>
          <c:tx>
            <c:v>15#-T240</c:v>
          </c:tx>
          <c:marker>
            <c:spPr>
              <a:solidFill>
                <a:schemeClr val="accent4"/>
              </a:solidFill>
              <a:ln>
                <a:solidFill>
                  <a:schemeClr val="accent4"/>
                </a:solidFill>
              </a:ln>
            </c:spPr>
          </c:marker>
          <c:xVal>
            <c:numRef>
              <c:f>'2nitW32'!#REF!</c:f>
            </c:numRef>
          </c:xVal>
          <c:yVal>
            <c:numRef>
              <c:f>'2nitW32'!#REF!</c:f>
            </c:numRef>
          </c:yVal>
          <c:smooth val="0"/>
        </c:ser>
        <c:ser>
          <c:idx val="71"/>
          <c:order val="40"/>
          <c:tx>
            <c:v>16#-T240</c:v>
          </c:tx>
          <c:marker>
            <c:spPr>
              <a:solidFill>
                <a:schemeClr val="accent4">
                  <a:alpha val="95000"/>
                </a:schemeClr>
              </a:solidFill>
              <a:ln>
                <a:solidFill>
                  <a:schemeClr val="accent4"/>
                </a:solidFill>
              </a:ln>
            </c:spPr>
          </c:marker>
          <c:xVal>
            <c:numRef>
              <c:f>'2nitW32'!#REF!</c:f>
            </c:numRef>
          </c:xVal>
          <c:yVal>
            <c:numRef>
              <c:f>'2nitW32'!#REF!</c:f>
            </c:numRef>
          </c:yVal>
          <c:smooth val="0"/>
        </c:ser>
        <c:ser>
          <c:idx val="72"/>
          <c:order val="41"/>
          <c:tx>
            <c:v>17#-T240</c:v>
          </c:tx>
          <c:marker>
            <c:spPr>
              <a:solidFill>
                <a:schemeClr val="accent4"/>
              </a:solidFill>
              <a:ln>
                <a:solidFill>
                  <a:schemeClr val="accent4"/>
                </a:solidFill>
              </a:ln>
            </c:spPr>
          </c:marker>
          <c:xVal>
            <c:numRef>
              <c:f>'2nitW32'!#REF!</c:f>
            </c:numRef>
          </c:xVal>
          <c:yVal>
            <c:numRef>
              <c:f>'2nitW32'!#REF!</c:f>
            </c:numRef>
          </c:yVal>
          <c:smooth val="0"/>
        </c:ser>
        <c:ser>
          <c:idx val="73"/>
          <c:order val="42"/>
          <c:tx>
            <c:v>18#-T240</c:v>
          </c:tx>
          <c:marker>
            <c:spPr>
              <a:solidFill>
                <a:schemeClr val="accent4"/>
              </a:solidFill>
              <a:ln>
                <a:solidFill>
                  <a:schemeClr val="accent4"/>
                </a:solidFill>
              </a:ln>
            </c:spPr>
          </c:marker>
          <c:xVal>
            <c:numRef>
              <c:f>'2nitW32'!#REF!</c:f>
            </c:numRef>
          </c:xVal>
          <c:yVal>
            <c:numRef>
              <c:f>'2nitW32'!#REF!</c:f>
            </c:numRef>
          </c:yVal>
          <c:smooth val="0"/>
        </c:ser>
        <c:ser>
          <c:idx val="74"/>
          <c:order val="43"/>
          <c:tx>
            <c:v>19#-T240</c:v>
          </c:tx>
          <c:marker>
            <c:spPr>
              <a:solidFill>
                <a:schemeClr val="accent4"/>
              </a:solidFill>
              <a:ln>
                <a:solidFill>
                  <a:schemeClr val="accent4"/>
                </a:solidFill>
              </a:ln>
            </c:spPr>
          </c:marker>
          <c:xVal>
            <c:numRef>
              <c:f>'2nitW32'!#REF!</c:f>
            </c:numRef>
          </c:xVal>
          <c:yVal>
            <c:numRef>
              <c:f>'2nitW32'!#REF!</c:f>
            </c:numRef>
          </c:yVal>
          <c:smooth val="0"/>
        </c:ser>
        <c:ser>
          <c:idx val="75"/>
          <c:order val="44"/>
          <c:tx>
            <c:v>20#-T240</c:v>
          </c:tx>
          <c:marker>
            <c:spPr>
              <a:solidFill>
                <a:schemeClr val="accent4"/>
              </a:solidFill>
              <a:ln>
                <a:solidFill>
                  <a:schemeClr val="accent4"/>
                </a:solidFill>
              </a:ln>
            </c:spPr>
          </c:marker>
          <c:xVal>
            <c:numRef>
              <c:f>'2nitW32'!#REF!</c:f>
            </c:numRef>
          </c:xVal>
          <c:yVal>
            <c:numRef>
              <c:f>'2nitW32'!#REF!</c:f>
            </c:numRef>
          </c:yVal>
          <c:smooth val="0"/>
        </c:ser>
        <c:ser>
          <c:idx val="76"/>
          <c:order val="45"/>
          <c:tx>
            <c:v>21#-T240</c:v>
          </c:tx>
          <c:marker>
            <c:spPr>
              <a:solidFill>
                <a:schemeClr val="accent4"/>
              </a:solidFill>
              <a:ln>
                <a:solidFill>
                  <a:schemeClr val="accent4"/>
                </a:solidFill>
              </a:ln>
            </c:spPr>
          </c:marker>
          <c:xVal>
            <c:numRef>
              <c:f>'2nitW32'!#REF!</c:f>
            </c:numRef>
          </c:xVal>
          <c:yVal>
            <c:numRef>
              <c:f>'2nitW32'!#REF!</c:f>
            </c:numRef>
          </c:yVal>
          <c:smooth val="0"/>
        </c:ser>
        <c:ser>
          <c:idx val="77"/>
          <c:order val="46"/>
          <c:tx>
            <c:v>22#-T240</c:v>
          </c:tx>
          <c:marker>
            <c:spPr>
              <a:solidFill>
                <a:schemeClr val="accent4"/>
              </a:solidFill>
              <a:ln>
                <a:solidFill>
                  <a:schemeClr val="accent4"/>
                </a:solidFill>
              </a:ln>
            </c:spPr>
          </c:marker>
          <c:xVal>
            <c:numRef>
              <c:f>'2nitW32'!#REF!</c:f>
            </c:numRef>
          </c:xVal>
          <c:yVal>
            <c:numRef>
              <c:f>'2nitW32'!#REF!</c:f>
            </c:numRef>
          </c:yVal>
          <c:smooth val="0"/>
        </c:ser>
        <c:ser>
          <c:idx val="78"/>
          <c:order val="47"/>
          <c:tx>
            <c:v>23#-T240</c:v>
          </c:tx>
          <c:marker>
            <c:spPr>
              <a:solidFill>
                <a:schemeClr val="accent4"/>
              </a:solidFill>
              <a:ln>
                <a:solidFill>
                  <a:schemeClr val="accent4"/>
                </a:solidFill>
              </a:ln>
            </c:spPr>
          </c:marker>
          <c:xVal>
            <c:numRef>
              <c:f>'2nitW32'!#REF!</c:f>
            </c:numRef>
          </c:xVal>
          <c:yVal>
            <c:numRef>
              <c:f>'2nitW32'!#REF!</c:f>
            </c:numRef>
          </c:yVal>
          <c:smooth val="0"/>
        </c:ser>
        <c:ser>
          <c:idx val="79"/>
          <c:order val="48"/>
          <c:tx>
            <c:v>24#-T240</c:v>
          </c:tx>
          <c:marker>
            <c:spPr>
              <a:solidFill>
                <a:schemeClr val="accent4"/>
              </a:solidFill>
              <a:ln>
                <a:solidFill>
                  <a:schemeClr val="accent4"/>
                </a:solidFill>
              </a:ln>
            </c:spPr>
          </c:marker>
          <c:xVal>
            <c:numRef>
              <c:f>'2nitW32'!#REF!</c:f>
            </c:numRef>
          </c:xVal>
          <c:yVal>
            <c:numRef>
              <c:f>'2nitW32'!#REF!</c:f>
            </c:numRef>
          </c:yVal>
          <c:smooth val="0"/>
        </c:ser>
        <c:ser>
          <c:idx val="80"/>
          <c:order val="49"/>
          <c:tx>
            <c:v>25#-T240</c:v>
          </c:tx>
          <c:marker>
            <c:spPr>
              <a:solidFill>
                <a:schemeClr val="accent4"/>
              </a:solidFill>
              <a:ln>
                <a:solidFill>
                  <a:schemeClr val="accent4"/>
                </a:solidFill>
              </a:ln>
            </c:spPr>
          </c:marker>
          <c:xVal>
            <c:numRef>
              <c:f>'2nitW32'!#REF!</c:f>
            </c:numRef>
          </c:xVal>
          <c:yVal>
            <c:numRef>
              <c:f>'2nitW32'!#REF!</c:f>
            </c:numRef>
          </c:yVal>
          <c:smooth val="0"/>
        </c:ser>
        <c:ser>
          <c:idx val="81"/>
          <c:order val="50"/>
          <c:tx>
            <c:v>26#-T240</c:v>
          </c:tx>
          <c:marker>
            <c:spPr>
              <a:solidFill>
                <a:schemeClr val="accent4"/>
              </a:solidFill>
              <a:ln>
                <a:solidFill>
                  <a:schemeClr val="accent4"/>
                </a:solidFill>
              </a:ln>
            </c:spPr>
          </c:marker>
          <c:xVal>
            <c:numRef>
              <c:f>'2nitW32'!#REF!</c:f>
            </c:numRef>
          </c:xVal>
          <c:yVal>
            <c:numRef>
              <c:f>'2nitW32'!#REF!</c:f>
            </c:numRef>
          </c:yVal>
          <c:smooth val="0"/>
        </c:ser>
        <c:ser>
          <c:idx val="83"/>
          <c:order val="51"/>
          <c:tx>
            <c:v>27#-T240</c:v>
          </c:tx>
          <c:marker>
            <c:spPr>
              <a:solidFill>
                <a:schemeClr val="accent4"/>
              </a:solidFill>
              <a:ln>
                <a:solidFill>
                  <a:schemeClr val="accent4"/>
                </a:solidFill>
              </a:ln>
            </c:spPr>
          </c:marker>
          <c:xVal>
            <c:numRef>
              <c:f>'2nitW32'!#REF!</c:f>
            </c:numRef>
          </c:xVal>
          <c:yVal>
            <c:numRef>
              <c:f>'2nitW32'!#REF!</c:f>
            </c:numRef>
          </c:yVal>
          <c:smooth val="0"/>
        </c:ser>
        <c:ser>
          <c:idx val="82"/>
          <c:order val="52"/>
          <c:tx>
            <c:v>28#-T240</c:v>
          </c:tx>
          <c:marker>
            <c:spPr>
              <a:solidFill>
                <a:schemeClr val="accent4"/>
              </a:solidFill>
              <a:ln>
                <a:solidFill>
                  <a:schemeClr val="accent4"/>
                </a:solidFill>
              </a:ln>
            </c:spPr>
          </c:marker>
          <c:xVal>
            <c:numRef>
              <c:f>'2nitW32'!#REF!</c:f>
            </c:numRef>
          </c:xVal>
          <c:yVal>
            <c:numRef>
              <c:f>'2nitW32'!#REF!</c:f>
            </c:numRef>
          </c:yVal>
          <c:smooth val="0"/>
        </c:ser>
        <c:ser>
          <c:idx val="84"/>
          <c:order val="53"/>
          <c:tx>
            <c:v>29#-T240</c:v>
          </c:tx>
          <c:marker>
            <c:spPr>
              <a:solidFill>
                <a:schemeClr val="accent4"/>
              </a:solidFill>
              <a:ln>
                <a:solidFill>
                  <a:schemeClr val="accent4"/>
                </a:solidFill>
              </a:ln>
            </c:spPr>
          </c:marker>
          <c:xVal>
            <c:numRef>
              <c:f>'2nitW32'!#REF!</c:f>
            </c:numRef>
          </c:xVal>
          <c:yVal>
            <c:numRef>
              <c:f>'2nitW32'!#REF!</c:f>
            </c:numRef>
          </c:yVal>
          <c:smooth val="0"/>
        </c:ser>
        <c:ser>
          <c:idx val="93"/>
          <c:order val="54"/>
          <c:tx>
            <c:v>30#-T240</c:v>
          </c:tx>
          <c:marker>
            <c:spPr>
              <a:solidFill>
                <a:srgbClr val="FFC000"/>
              </a:solidFill>
              <a:ln>
                <a:solidFill>
                  <a:srgbClr val="FFC000"/>
                </a:solidFill>
              </a:ln>
            </c:spPr>
          </c:marker>
          <c:xVal>
            <c:numRef>
              <c:f>'2nitW32'!#REF!</c:f>
            </c:numRef>
          </c:xVal>
          <c:yVal>
            <c:numRef>
              <c:f>'2nitW32'!#REF!</c:f>
            </c:numRef>
          </c:yVal>
          <c:smooth val="0"/>
        </c:ser>
        <c:ser>
          <c:idx val="94"/>
          <c:order val="55"/>
          <c:tx>
            <c:v>31#-T240</c:v>
          </c:tx>
          <c:marker>
            <c:spPr>
              <a:solidFill>
                <a:srgbClr val="FFC000"/>
              </a:solidFill>
              <a:ln>
                <a:solidFill>
                  <a:srgbClr val="FFC000"/>
                </a:solidFill>
              </a:ln>
            </c:spPr>
          </c:marker>
          <c:xVal>
            <c:numRef>
              <c:f>'2nitW32'!#REF!</c:f>
            </c:numRef>
          </c:xVal>
          <c:yVal>
            <c:numRef>
              <c:f>'2nitW32'!#REF!</c:f>
            </c:numRef>
          </c:yVal>
          <c:smooth val="0"/>
        </c:ser>
        <c:ser>
          <c:idx val="0"/>
          <c:order val="56"/>
          <c:tx>
            <c:v>0H</c:v>
          </c:tx>
          <c:spPr>
            <a:ln w="19050">
              <a:noFill/>
            </a:ln>
          </c:spPr>
          <c:marker>
            <c:symbol val="diamond"/>
            <c:size val="4"/>
          </c:marker>
          <c:xVal>
            <c:numRef>
              <c:f>'2nitW32'!$B$6:$B$15</c:f>
              <c:numCache>
                <c:formatCode>0.000</c:formatCode>
                <c:ptCount val="10"/>
                <c:pt idx="0">
                  <c:v>0.27616328604135815</c:v>
                </c:pt>
                <c:pt idx="1">
                  <c:v>0.26330860115068866</c:v>
                </c:pt>
                <c:pt idx="2">
                  <c:v>0.26862835785800498</c:v>
                </c:pt>
                <c:pt idx="3">
                  <c:v>0.26775332832101495</c:v>
                </c:pt>
                <c:pt idx="4">
                  <c:v>0.27003863396704852</c:v>
                </c:pt>
                <c:pt idx="5">
                  <c:v>0.27581925378189875</c:v>
                </c:pt>
                <c:pt idx="6">
                  <c:v>0.26663925705678115</c:v>
                </c:pt>
                <c:pt idx="7">
                  <c:v>0.27329719798369079</c:v>
                </c:pt>
                <c:pt idx="8">
                  <c:v>0.26654330658156039</c:v>
                </c:pt>
                <c:pt idx="9">
                  <c:v>0.2554034496511382</c:v>
                </c:pt>
              </c:numCache>
            </c:numRef>
          </c:xVal>
          <c:yVal>
            <c:numRef>
              <c:f>'2nitW32'!$C$6:$C$15</c:f>
              <c:numCache>
                <c:formatCode>0.000</c:formatCode>
                <c:ptCount val="10"/>
                <c:pt idx="0">
                  <c:v>0.29203132676399285</c:v>
                </c:pt>
                <c:pt idx="1">
                  <c:v>0.26800522036763907</c:v>
                </c:pt>
                <c:pt idx="2">
                  <c:v>0.25319633170483624</c:v>
                </c:pt>
                <c:pt idx="3">
                  <c:v>0.28174271770621889</c:v>
                </c:pt>
                <c:pt idx="4">
                  <c:v>0.28520954315158764</c:v>
                </c:pt>
                <c:pt idx="5">
                  <c:v>0.2775873890658721</c:v>
                </c:pt>
                <c:pt idx="6">
                  <c:v>0.26086328043933826</c:v>
                </c:pt>
                <c:pt idx="7">
                  <c:v>0.28272001898504623</c:v>
                </c:pt>
                <c:pt idx="8">
                  <c:v>0.28099164055218073</c:v>
                </c:pt>
                <c:pt idx="9">
                  <c:v>0.25054131645273819</c:v>
                </c:pt>
              </c:numCache>
            </c:numRef>
          </c:yVal>
          <c:smooth val="0"/>
        </c:ser>
        <c:ser>
          <c:idx val="1"/>
          <c:order val="57"/>
          <c:tx>
            <c:v>4H</c:v>
          </c:tx>
          <c:spPr>
            <a:ln w="19050">
              <a:noFill/>
            </a:ln>
          </c:spPr>
          <c:marker>
            <c:symbol val="square"/>
            <c:size val="4"/>
          </c:marker>
          <c:xVal>
            <c:numRef>
              <c:f>'2nitW32'!$E$6:$E$15</c:f>
              <c:numCache>
                <c:formatCode>0.000</c:formatCode>
                <c:ptCount val="10"/>
                <c:pt idx="0">
                  <c:v>0.28266652366666672</c:v>
                </c:pt>
                <c:pt idx="1">
                  <c:v>0.26948369134528644</c:v>
                </c:pt>
                <c:pt idx="2">
                  <c:v>0.28161715035805535</c:v>
                </c:pt>
                <c:pt idx="3">
                  <c:v>0.28173929826278038</c:v>
                </c:pt>
                <c:pt idx="4">
                  <c:v>0.27767830275940147</c:v>
                </c:pt>
                <c:pt idx="5">
                  <c:v>0.28925732708914181</c:v>
                </c:pt>
                <c:pt idx="6">
                  <c:v>0.2810619119525517</c:v>
                </c:pt>
                <c:pt idx="7">
                  <c:v>0.28461032520033103</c:v>
                </c:pt>
                <c:pt idx="8">
                  <c:v>0.2751351634048923</c:v>
                </c:pt>
                <c:pt idx="9">
                  <c:v>0.26873212711111111</c:v>
                </c:pt>
              </c:numCache>
            </c:numRef>
          </c:xVal>
          <c:yVal>
            <c:numRef>
              <c:f>'2nitW32'!$F$6:$F$15</c:f>
              <c:numCache>
                <c:formatCode>0.000</c:formatCode>
                <c:ptCount val="10"/>
                <c:pt idx="0">
                  <c:v>0.32286629066666667</c:v>
                </c:pt>
                <c:pt idx="1">
                  <c:v>0.29192021530116485</c:v>
                </c:pt>
                <c:pt idx="2">
                  <c:v>0.28570274455282835</c:v>
                </c:pt>
                <c:pt idx="3">
                  <c:v>0.31975459348951918</c:v>
                </c:pt>
                <c:pt idx="4">
                  <c:v>0.31117691613636711</c:v>
                </c:pt>
                <c:pt idx="5">
                  <c:v>0.32043529023729517</c:v>
                </c:pt>
                <c:pt idx="6">
                  <c:v>0.29997439661093001</c:v>
                </c:pt>
                <c:pt idx="7">
                  <c:v>0.31750718414261603</c:v>
                </c:pt>
                <c:pt idx="8">
                  <c:v>0.31458192198313645</c:v>
                </c:pt>
                <c:pt idx="9">
                  <c:v>0.28687671833333339</c:v>
                </c:pt>
              </c:numCache>
            </c:numRef>
          </c:yVal>
          <c:smooth val="0"/>
        </c:ser>
        <c:ser>
          <c:idx val="2"/>
          <c:order val="58"/>
          <c:tx>
            <c:v>8H</c:v>
          </c:tx>
          <c:spPr>
            <a:ln w="19050">
              <a:noFill/>
            </a:ln>
          </c:spPr>
          <c:marker>
            <c:symbol val="triangle"/>
            <c:size val="4"/>
          </c:marker>
          <c:xVal>
            <c:numRef>
              <c:f>'2nitW32'!$H$6:$H$15</c:f>
              <c:numCache>
                <c:formatCode>0.000</c:formatCode>
                <c:ptCount val="10"/>
                <c:pt idx="0">
                  <c:v>0.29081255241603987</c:v>
                </c:pt>
                <c:pt idx="1">
                  <c:v>0.27686276982862312</c:v>
                </c:pt>
                <c:pt idx="2" formatCode="0.000_);[Red]\(0.000\)">
                  <c:v>0.28939684843177216</c:v>
                </c:pt>
                <c:pt idx="3" formatCode="0.000_);[Red]\(0.000\)">
                  <c:v>0.28694494035923612</c:v>
                </c:pt>
                <c:pt idx="4" formatCode="0.000_);[Red]\(0.000\)">
                  <c:v>0.28208619867363383</c:v>
                </c:pt>
                <c:pt idx="5" formatCode="0.000_);[Red]\(0.000\)">
                  <c:v>0.29897310393479221</c:v>
                </c:pt>
                <c:pt idx="6" formatCode="0.000_);[Red]\(0.000\)">
                  <c:v>0.28436516677123369</c:v>
                </c:pt>
                <c:pt idx="7" formatCode="0.000_);[Red]\(0.000\)">
                  <c:v>0.28770717435045773</c:v>
                </c:pt>
                <c:pt idx="8">
                  <c:v>0.28286276295082985</c:v>
                </c:pt>
                <c:pt idx="9" formatCode="0.000_);[Red]\(0.000\)">
                  <c:v>0.27449052248191202</c:v>
                </c:pt>
              </c:numCache>
            </c:numRef>
          </c:xVal>
          <c:yVal>
            <c:numRef>
              <c:f>'2nitW32'!$I$6:$I$15</c:f>
              <c:numCache>
                <c:formatCode>0.000</c:formatCode>
                <c:ptCount val="10"/>
                <c:pt idx="0">
                  <c:v>0.35179569053061699</c:v>
                </c:pt>
                <c:pt idx="1">
                  <c:v>0.31161919273934163</c:v>
                </c:pt>
                <c:pt idx="2" formatCode="0.000_);[Red]\(0.000\)">
                  <c:v>0.3028446032530297</c:v>
                </c:pt>
                <c:pt idx="3" formatCode="0.000_);[Red]\(0.000\)">
                  <c:v>0.33815726661613915</c:v>
                </c:pt>
                <c:pt idx="4" formatCode="0.000_);[Red]\(0.000\)">
                  <c:v>0.32504111812336706</c:v>
                </c:pt>
                <c:pt idx="5" formatCode="0.000_);[Red]\(0.000\)">
                  <c:v>0.34694505816344345</c:v>
                </c:pt>
                <c:pt idx="6" formatCode="0.000_);[Red]\(0.000\)">
                  <c:v>0.31208784379769666</c:v>
                </c:pt>
                <c:pt idx="7" formatCode="0.000_);[Red]\(0.000\)">
                  <c:v>0.32650399435147981</c:v>
                </c:pt>
                <c:pt idx="8">
                  <c:v>0.3335525379576022</c:v>
                </c:pt>
                <c:pt idx="9" formatCode="0.000_);[Red]\(0.000\)">
                  <c:v>0.30372235600650044</c:v>
                </c:pt>
              </c:numCache>
            </c:numRef>
          </c:yVal>
          <c:smooth val="0"/>
        </c:ser>
        <c:dLbls>
          <c:showLegendKey val="0"/>
          <c:showVal val="0"/>
          <c:showCatName val="0"/>
          <c:showSerName val="0"/>
          <c:showPercent val="0"/>
          <c:showBubbleSize val="0"/>
        </c:dLbls>
        <c:axId val="1806425600"/>
        <c:axId val="1806422336"/>
        <c:extLst/>
      </c:scatterChart>
      <c:valAx>
        <c:axId val="1806425600"/>
        <c:scaling>
          <c:orientation val="minMax"/>
          <c:max val="0.8"/>
          <c:min val="0"/>
        </c:scaling>
        <c:delete val="0"/>
        <c:axPos val="b"/>
        <c:title>
          <c:tx>
            <c:rich>
              <a:bodyPr/>
              <a:lstStyle/>
              <a:p>
                <a:pPr>
                  <a:defRPr sz="700">
                    <a:latin typeface="Times New Roman" panose="02020603050405020304" pitchFamily="18" charset="0"/>
                    <a:cs typeface="Times New Roman" panose="02020603050405020304" pitchFamily="18" charset="0"/>
                  </a:defRPr>
                </a:pPr>
                <a:r>
                  <a:rPr lang="en-US" sz="700">
                    <a:latin typeface="Times New Roman" panose="02020603050405020304" pitchFamily="18" charset="0"/>
                    <a:cs typeface="Times New Roman" panose="02020603050405020304" pitchFamily="18" charset="0"/>
                  </a:rPr>
                  <a:t>CIE-x</a:t>
                </a:r>
                <a:endParaRPr lang="zh-CN" sz="700">
                  <a:latin typeface="Times New Roman" panose="02020603050405020304" pitchFamily="18" charset="0"/>
                  <a:cs typeface="Times New Roman" panose="02020603050405020304" pitchFamily="18" charset="0"/>
                </a:endParaRPr>
              </a:p>
            </c:rich>
          </c:tx>
          <c:layout/>
          <c:overlay val="0"/>
        </c:title>
        <c:numFmt formatCode="0.0" sourceLinked="0"/>
        <c:majorTickMark val="in"/>
        <c:minorTickMark val="in"/>
        <c:tickLblPos val="nextTo"/>
        <c:spPr>
          <a:ln w="3175">
            <a:solidFill>
              <a:srgbClr val="969696"/>
            </a:solidFill>
            <a:prstDash val="solid"/>
          </a:ln>
        </c:spPr>
        <c:txPr>
          <a:bodyPr rot="0" vert="horz"/>
          <a:lstStyle/>
          <a:p>
            <a:pPr>
              <a:defRPr sz="600">
                <a:latin typeface="Times New Roman" panose="02020603050405020304" pitchFamily="18" charset="0"/>
                <a:cs typeface="Times New Roman" panose="02020603050405020304" pitchFamily="18" charset="0"/>
              </a:defRPr>
            </a:pPr>
            <a:endParaRPr lang="zh-CN"/>
          </a:p>
        </c:txPr>
        <c:crossAx val="1806422336"/>
        <c:crossesAt val="0"/>
        <c:crossBetween val="midCat"/>
        <c:majorUnit val="0.1"/>
      </c:valAx>
      <c:valAx>
        <c:axId val="1806422336"/>
        <c:scaling>
          <c:orientation val="minMax"/>
          <c:max val="0.9"/>
          <c:min val="0"/>
        </c:scaling>
        <c:delete val="0"/>
        <c:axPos val="l"/>
        <c:title>
          <c:tx>
            <c:rich>
              <a:bodyPr/>
              <a:lstStyle/>
              <a:p>
                <a:pPr>
                  <a:defRPr sz="700">
                    <a:latin typeface="Times New Roman" panose="02020603050405020304" pitchFamily="18" charset="0"/>
                    <a:cs typeface="Times New Roman" panose="02020603050405020304" pitchFamily="18" charset="0"/>
                  </a:defRPr>
                </a:pPr>
                <a:r>
                  <a:rPr lang="en-US" sz="700">
                    <a:latin typeface="Times New Roman" panose="02020603050405020304" pitchFamily="18" charset="0"/>
                    <a:cs typeface="Times New Roman" panose="02020603050405020304" pitchFamily="18" charset="0"/>
                  </a:rPr>
                  <a:t>CIE-y</a:t>
                </a:r>
                <a:endParaRPr lang="zh-CN" sz="700">
                  <a:latin typeface="Times New Roman" panose="02020603050405020304" pitchFamily="18" charset="0"/>
                  <a:cs typeface="Times New Roman" panose="02020603050405020304" pitchFamily="18" charset="0"/>
                </a:endParaRPr>
              </a:p>
            </c:rich>
          </c:tx>
          <c:layout/>
          <c:overlay val="0"/>
        </c:title>
        <c:numFmt formatCode="0.0" sourceLinked="0"/>
        <c:majorTickMark val="in"/>
        <c:minorTickMark val="in"/>
        <c:tickLblPos val="nextTo"/>
        <c:spPr>
          <a:ln w="3175">
            <a:solidFill>
              <a:srgbClr val="969696"/>
            </a:solidFill>
            <a:prstDash val="solid"/>
          </a:ln>
        </c:spPr>
        <c:txPr>
          <a:bodyPr rot="0" vert="horz"/>
          <a:lstStyle/>
          <a:p>
            <a:pPr>
              <a:defRPr sz="600">
                <a:latin typeface="Times New Roman" panose="02020603050405020304" pitchFamily="18" charset="0"/>
                <a:cs typeface="Times New Roman" panose="02020603050405020304" pitchFamily="18" charset="0"/>
              </a:defRPr>
            </a:pPr>
            <a:endParaRPr lang="zh-CN"/>
          </a:p>
        </c:txPr>
        <c:crossAx val="1806425600"/>
        <c:crosses val="autoZero"/>
        <c:crossBetween val="midCat"/>
        <c:majorUnit val="0.1"/>
      </c:valAx>
      <c:spPr>
        <a:blipFill dpi="0" rotWithShape="1">
          <a:blip xmlns:r="http://schemas.openxmlformats.org/officeDocument/2006/relationships" r:embed="rId1">
            <a:alphaModFix amt="80000"/>
          </a:blip>
          <a:srcRect/>
          <a:stretch>
            <a:fillRect/>
          </a:stretch>
        </a:blipFill>
        <a:ln w="3175">
          <a:solidFill>
            <a:schemeClr val="tx1"/>
          </a:solidFill>
        </a:ln>
      </c:spPr>
    </c:plotArea>
    <c:legend>
      <c:legendPos val="r"/>
      <c:layout>
        <c:manualLayout>
          <c:xMode val="edge"/>
          <c:yMode val="edge"/>
          <c:x val="0.80103521150765244"/>
          <c:y val="0.18346085627138264"/>
          <c:w val="0.11331219961141221"/>
          <c:h val="0.19059496686382627"/>
        </c:manualLayout>
      </c:layout>
      <c:overlay val="0"/>
      <c:txPr>
        <a:bodyPr/>
        <a:lstStyle/>
        <a:p>
          <a:pPr>
            <a:defRPr sz="500"/>
          </a:pPr>
          <a:endParaRPr lang="zh-CN"/>
        </a:p>
      </c:txPr>
    </c:legend>
    <c:plotVisOnly val="1"/>
    <c:dispBlanksAs val="gap"/>
    <c:showDLblsOverMax val="0"/>
  </c:chart>
  <c:spPr>
    <a:solidFill>
      <a:schemeClr val="bg1"/>
    </a:solidFill>
    <a:ln w="9525">
      <a:solidFill>
        <a:schemeClr val="tx1"/>
      </a:solidFill>
      <a:prstDash val="solid"/>
    </a:ln>
  </c:spPr>
  <c:txPr>
    <a:bodyPr/>
    <a:lstStyle/>
    <a:p>
      <a:pPr>
        <a:defRPr sz="800" b="0" i="0" u="none" strike="noStrike" baseline="0">
          <a:solidFill>
            <a:srgbClr val="000000"/>
          </a:solidFill>
          <a:latin typeface="微软雅黑" panose="020B0503020204020204" pitchFamily="34" charset="-122"/>
          <a:ea typeface="微软雅黑" panose="020B0503020204020204" pitchFamily="34" charset="-122"/>
          <a:cs typeface="Times New Roman" pitchFamily="18" charset="0"/>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6AF-1ED5-436E-B20B-116CC57E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2376</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Title Must be in 14 pt</vt:lpstr>
    </vt:vector>
  </TitlesOfParts>
  <Company>Sheridan Printing</Company>
  <LinksUpToDate>false</LinksUpToDate>
  <CharactersWithSpaces>15951</CharactersWithSpaces>
  <SharedDoc>false</SharedDoc>
  <HLinks>
    <vt:vector size="12" baseType="variant">
      <vt:variant>
        <vt:i4>2490479</vt:i4>
      </vt:variant>
      <vt:variant>
        <vt:i4>9</vt:i4>
      </vt:variant>
      <vt:variant>
        <vt:i4>0</vt:i4>
      </vt:variant>
      <vt:variant>
        <vt:i4>5</vt:i4>
      </vt:variant>
      <vt:variant>
        <vt:lpwstr>http://www.displaysrus.com/</vt:lpwstr>
      </vt:variant>
      <vt:variant>
        <vt:lpwstr/>
      </vt:variant>
      <vt:variant>
        <vt:i4>5373963</vt:i4>
      </vt:variant>
      <vt:variant>
        <vt:i4>0</vt:i4>
      </vt:variant>
      <vt:variant>
        <vt:i4>0</vt:i4>
      </vt:variant>
      <vt:variant>
        <vt:i4>5</vt:i4>
      </vt:variant>
      <vt:variant>
        <vt:lpwstr>http://www.scomminc.com/pp/pcm/DW-distilling-settings.htm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session#-paper#</dc:title>
  <dc:creator>张汝康</dc:creator>
  <cp:lastModifiedBy>张汝康</cp:lastModifiedBy>
  <cp:revision>3</cp:revision>
  <cp:lastPrinted>2014-01-27T14:55:00Z</cp:lastPrinted>
  <dcterms:created xsi:type="dcterms:W3CDTF">2026-02-25T06:13:00Z</dcterms:created>
  <dcterms:modified xsi:type="dcterms:W3CDTF">2026-02-25T06:13:00Z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e415fab7_0fd563e3_055e6203dcf5d7f86df1f8de575a8f49792d10e769f330dfdd5b35c5dfc39334_603b8d5bd00bd146861d971a92a624db14e074e7c78591a4bd29b20ffa5b26ee</vt:lpwstr>
  </property>
  <property fmtid="{D5CDD505-2E9C-101B-9397-08002B2CF9AE}" pid="3" name="DTSOBJ">
    <vt:lpwstr>ZDE2ZmIwNGV8Njk5ZTkzMTNmNTU2ZWE1YzY4NmIwZGNlfDY5MDk5NjhhZjU1NmVhNWMwYzA5MmI3MHw2OTExNDMxNWY1NTZlYTVjNzQzODdiNjB8NzYzMDE4fDV8OHxjYTNlNWZjNA==</vt:lpwstr>
  </property>
</Properties>
</file>